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uppressAutoHyphens w:val="false"/>
        <w:spacing w:lineRule="auto" w:line="276" w:before="57" w:after="57"/>
        <w:ind w:hanging="0" w:left="0" w:right="0"/>
        <w:jc w:val="center"/>
        <w:rPr>
          <w:rFonts w:ascii="Verdana" w:hAnsi="Verdana"/>
          <w:sz w:val="20"/>
          <w:szCs w:val="20"/>
        </w:rPr>
      </w:pPr>
      <w:r>
        <w:rPr>
          <w:rFonts w:ascii="Verdana" w:hAnsi="Verdana"/>
          <w:b/>
          <w:bCs/>
          <w:color w:val="000000"/>
          <w:sz w:val="20"/>
          <w:szCs w:val="20"/>
        </w:rPr>
        <w:t>TERMO DE REFERÊNCIA – LEI 14.133/21</w:t>
      </w:r>
    </w:p>
    <w:p>
      <w:pPr>
        <w:pStyle w:val="Normal"/>
        <w:spacing w:lineRule="auto" w:line="276" w:before="57" w:after="57"/>
        <w:ind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left="0" w:right="0"/>
        <w:jc w:val="center"/>
        <w:rPr>
          <w:rFonts w:ascii="Verdana" w:hAnsi="Verdana"/>
          <w:sz w:val="20"/>
          <w:szCs w:val="20"/>
        </w:rPr>
      </w:pPr>
      <w:r>
        <w:rPr>
          <w:rFonts w:ascii="Verdana" w:hAnsi="Verdana"/>
          <w:b/>
          <w:bCs/>
          <w:iCs/>
          <w:color w:val="000000"/>
          <w:sz w:val="20"/>
          <w:szCs w:val="20"/>
          <w:u w:val="single"/>
        </w:rPr>
        <w:t xml:space="preserve">REGISTRO DE PREÇOS – </w:t>
      </w:r>
      <w:r>
        <w:rPr>
          <w:rFonts w:eastAsia="Times New Roman" w:cs="Arial" w:ascii="Verdana" w:hAnsi="Verdana"/>
          <w:b/>
          <w:bCs/>
          <w:iCs/>
          <w:color w:val="000000"/>
          <w:sz w:val="20"/>
          <w:szCs w:val="20"/>
          <w:u w:val="single"/>
        </w:rPr>
        <w:t>AQUISIÇÃO DE IMPRESSORAS</w:t>
      </w:r>
    </w:p>
    <w:p>
      <w:pPr>
        <w:pStyle w:val="Normal"/>
        <w:spacing w:lineRule="auto" w:line="276" w:before="57" w:after="57"/>
        <w:ind w:left="0" w:right="0"/>
        <w:jc w:val="center"/>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left="0" w:right="0"/>
        <w:jc w:val="center"/>
        <w:rPr>
          <w:rFonts w:ascii="Verdana" w:hAnsi="Verdana"/>
          <w:sz w:val="20"/>
          <w:szCs w:val="20"/>
        </w:rPr>
      </w:pPr>
      <w:r>
        <w:rPr>
          <w:rFonts w:cs="Arial" w:ascii="Verdana" w:hAnsi="Verdana"/>
          <w:b/>
          <w:bCs/>
          <w:i w:val="false"/>
          <w:iCs w:val="false"/>
          <w:color w:val="000000"/>
          <w:sz w:val="20"/>
          <w:szCs w:val="20"/>
        </w:rPr>
        <w:t>Processo Administrativo nº 8664/2024 de 29 de novembro de 2024 (Secretaria Municipal de Saúde)</w:t>
      </w:r>
    </w:p>
    <w:p>
      <w:pPr>
        <w:pStyle w:val="Normal"/>
        <w:spacing w:lineRule="auto" w:line="276" w:before="57" w:after="57"/>
        <w:ind w:left="0" w:right="0"/>
        <w:jc w:val="center"/>
        <w:rPr>
          <w:rFonts w:ascii="Verdana" w:hAnsi="Verdana" w:cs="Arial"/>
          <w:b/>
          <w:sz w:val="20"/>
          <w:szCs w:val="20"/>
          <w:u w:val="single"/>
        </w:rPr>
      </w:pPr>
      <w:r>
        <w:rPr>
          <w:rFonts w:cs="Arial" w:ascii="Verdana" w:hAnsi="Verdana"/>
          <w:b/>
          <w:sz w:val="20"/>
          <w:szCs w:val="20"/>
          <w:u w:val="single"/>
        </w:rPr>
      </w:r>
    </w:p>
    <w:p>
      <w:pPr>
        <w:pStyle w:val="Nivel1"/>
        <w:spacing w:lineRule="auto" w:line="276" w:before="57" w:after="57"/>
        <w:ind w:hanging="0" w:left="0" w:right="0"/>
        <w:rPr>
          <w:rFonts w:ascii="Verdana" w:hAnsi="Verdana"/>
          <w:sz w:val="20"/>
          <w:szCs w:val="20"/>
        </w:rPr>
      </w:pPr>
      <w:r>
        <w:rPr>
          <w:rFonts w:cs="Times New Roman" w:ascii="Verdana" w:hAnsi="Verdana"/>
          <w:bCs/>
          <w:sz w:val="20"/>
          <w:szCs w:val="20"/>
        </w:rPr>
        <w:t>1. DAS CONDIÇÕES GERAIS DA AQUISIÇÃO</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Verdana" w:hAnsi="Verdana"/>
          <w:sz w:val="20"/>
          <w:szCs w:val="20"/>
        </w:rPr>
      </w:pPr>
      <w:r>
        <w:rPr>
          <w:rFonts w:ascii="Verdana" w:hAnsi="Verdana"/>
          <w:b w:val="false"/>
          <w:bCs w:val="false"/>
          <w:iCs/>
          <w:sz w:val="20"/>
          <w:szCs w:val="20"/>
        </w:rPr>
        <w:t>1.1 Abertura de Processo Licitatório  - Registro de preços</w:t>
      </w:r>
      <w:r>
        <w:rPr>
          <w:rFonts w:ascii="Verdana" w:hAnsi="Verdana"/>
          <w:b/>
          <w:bCs/>
          <w:iCs/>
          <w:sz w:val="20"/>
          <w:szCs w:val="20"/>
        </w:rPr>
        <w:t xml:space="preserve"> </w:t>
      </w:r>
      <w:r>
        <w:rPr>
          <w:rFonts w:ascii="Verdana" w:hAnsi="Verdana"/>
          <w:iCs/>
          <w:sz w:val="20"/>
          <w:szCs w:val="20"/>
        </w:rPr>
        <w:t xml:space="preserve">para aquisição de impressoras para atender as necessidades </w:t>
      </w:r>
      <w:r>
        <w:rPr>
          <w:rFonts w:eastAsia="Times New Roman" w:cs="Times New Roman" w:ascii="Verdana" w:hAnsi="Verdana"/>
          <w:iCs/>
          <w:color w:val="000000"/>
          <w:sz w:val="20"/>
          <w:szCs w:val="20"/>
        </w:rPr>
        <w:t>da Secretaria Municipal de Saúde dessa municipalidade.</w:t>
      </w:r>
    </w:p>
    <w:tbl>
      <w:tblPr>
        <w:tblW w:w="9281" w:type="dxa"/>
        <w:jc w:val="center"/>
        <w:tblInd w:w="0" w:type="dxa"/>
        <w:tblLayout w:type="fixed"/>
        <w:tblCellMar>
          <w:top w:w="0" w:type="dxa"/>
          <w:left w:w="70" w:type="dxa"/>
          <w:bottom w:w="0" w:type="dxa"/>
          <w:right w:w="70" w:type="dxa"/>
        </w:tblCellMar>
      </w:tblPr>
      <w:tblGrid>
        <w:gridCol w:w="735"/>
        <w:gridCol w:w="3625"/>
        <w:gridCol w:w="959"/>
        <w:gridCol w:w="921"/>
        <w:gridCol w:w="1454"/>
        <w:gridCol w:w="1586"/>
      </w:tblGrid>
      <w:tr>
        <w:trPr>
          <w:trHeight w:val="269" w:hRule="atLeast"/>
        </w:trPr>
        <w:tc>
          <w:tcPr>
            <w:tcW w:w="73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left="0" w:right="0"/>
              <w:jc w:val="center"/>
              <w:rPr>
                <w:rFonts w:ascii="Verdana" w:hAnsi="Verdana"/>
                <w:sz w:val="20"/>
                <w:szCs w:val="20"/>
              </w:rPr>
            </w:pPr>
            <w:r>
              <w:rPr>
                <w:rFonts w:cs="Arial" w:ascii="Verdana" w:hAnsi="Verdana"/>
                <w:b/>
                <w:bCs/>
                <w:sz w:val="20"/>
                <w:szCs w:val="20"/>
              </w:rPr>
              <w:t>Item</w:t>
            </w:r>
          </w:p>
        </w:tc>
        <w:tc>
          <w:tcPr>
            <w:tcW w:w="362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left="0" w:right="0"/>
              <w:jc w:val="center"/>
              <w:rPr>
                <w:rFonts w:ascii="Verdana" w:hAnsi="Verdana"/>
                <w:sz w:val="20"/>
                <w:szCs w:val="20"/>
              </w:rPr>
            </w:pPr>
            <w:r>
              <w:rPr>
                <w:rFonts w:cs="Arial" w:ascii="Verdana" w:hAnsi="Verdana"/>
                <w:b/>
                <w:bCs/>
                <w:sz w:val="20"/>
                <w:szCs w:val="20"/>
              </w:rPr>
              <w:t>Descrição</w:t>
            </w:r>
          </w:p>
        </w:tc>
        <w:tc>
          <w:tcPr>
            <w:tcW w:w="959"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76" w:before="57" w:after="57"/>
              <w:ind w:left="0" w:right="0"/>
              <w:jc w:val="center"/>
              <w:rPr>
                <w:rFonts w:ascii="Verdana" w:hAnsi="Verdana"/>
                <w:sz w:val="20"/>
                <w:szCs w:val="20"/>
              </w:rPr>
            </w:pPr>
            <w:r>
              <w:rPr>
                <w:rFonts w:cs="Arial" w:ascii="Verdana" w:hAnsi="Verdana"/>
                <w:b/>
                <w:bCs/>
                <w:sz w:val="20"/>
                <w:szCs w:val="20"/>
              </w:rPr>
              <w:t>Quant.</w:t>
            </w:r>
          </w:p>
        </w:tc>
        <w:tc>
          <w:tcPr>
            <w:tcW w:w="921" w:type="dxa"/>
            <w:tcBorders>
              <w:top w:val="single" w:sz="4" w:space="0" w:color="000000"/>
              <w:left w:val="single" w:sz="4" w:space="0" w:color="000000"/>
              <w:bottom w:val="single" w:sz="4" w:space="0" w:color="000000"/>
            </w:tcBorders>
            <w:vAlign w:val="center"/>
          </w:tcPr>
          <w:p>
            <w:pPr>
              <w:pStyle w:val="Normal"/>
              <w:widowControl w:val="false"/>
              <w:tabs>
                <w:tab w:val="clear" w:pos="708"/>
              </w:tabs>
              <w:spacing w:lineRule="auto" w:line="276" w:before="57" w:after="57"/>
              <w:ind w:left="0" w:right="0"/>
              <w:jc w:val="center"/>
              <w:rPr>
                <w:rFonts w:ascii="Verdana" w:hAnsi="Verdana"/>
                <w:sz w:val="20"/>
                <w:szCs w:val="20"/>
                <w:u w:val="none"/>
              </w:rPr>
            </w:pPr>
            <w:r>
              <w:rPr>
                <w:rFonts w:cs="Arial" w:ascii="Verdana" w:hAnsi="Verdana"/>
                <w:b/>
                <w:bCs/>
                <w:sz w:val="20"/>
                <w:szCs w:val="20"/>
                <w:u w:val="none"/>
              </w:rPr>
              <w:t>Und</w:t>
            </w:r>
          </w:p>
        </w:tc>
        <w:tc>
          <w:tcPr>
            <w:tcW w:w="145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left="0" w:right="0"/>
              <w:jc w:val="center"/>
              <w:rPr>
                <w:rFonts w:ascii="Verdana" w:hAnsi="Verdana"/>
                <w:sz w:val="20"/>
                <w:szCs w:val="20"/>
              </w:rPr>
            </w:pPr>
            <w:r>
              <w:rPr>
                <w:rFonts w:cs="Arial" w:ascii="Verdana" w:hAnsi="Verdana"/>
                <w:b/>
                <w:bCs/>
                <w:sz w:val="20"/>
                <w:szCs w:val="20"/>
              </w:rPr>
              <w:t>Preço unitário</w:t>
            </w:r>
            <w:r>
              <w:rPr>
                <w:rFonts w:cs="Arial" w:ascii="Verdana" w:hAnsi="Verdana"/>
                <w:b/>
                <w:bCs/>
                <w:sz w:val="20"/>
                <w:szCs w:val="20"/>
                <w:u w:val="single"/>
              </w:rPr>
              <w:t xml:space="preserve"> </w:t>
            </w:r>
            <w:r>
              <w:rPr>
                <w:rFonts w:cs="Arial" w:ascii="Verdana" w:hAnsi="Verdana"/>
                <w:b/>
                <w:bCs/>
                <w:sz w:val="20"/>
                <w:szCs w:val="20"/>
                <w:u w:val="none"/>
              </w:rPr>
              <w:t>estimado</w:t>
            </w:r>
          </w:p>
        </w:tc>
        <w:tc>
          <w:tcPr>
            <w:tcW w:w="15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left="0" w:right="0"/>
              <w:jc w:val="center"/>
              <w:rPr>
                <w:rFonts w:ascii="Verdana" w:hAnsi="Verdana"/>
                <w:sz w:val="20"/>
                <w:szCs w:val="20"/>
              </w:rPr>
            </w:pPr>
            <w:r>
              <w:rPr>
                <w:rFonts w:cs="Arial" w:ascii="Verdana" w:hAnsi="Verdana"/>
                <w:b/>
                <w:bCs/>
                <w:sz w:val="20"/>
                <w:szCs w:val="20"/>
              </w:rPr>
              <w:t>Preço total</w:t>
            </w:r>
            <w:r>
              <w:rPr>
                <w:rFonts w:cs="Arial" w:ascii="Verdana" w:hAnsi="Verdana"/>
                <w:b/>
                <w:bCs/>
                <w:sz w:val="20"/>
                <w:szCs w:val="20"/>
                <w:u w:val="single"/>
              </w:rPr>
              <w:t xml:space="preserve"> </w:t>
            </w:r>
            <w:r>
              <w:rPr>
                <w:rFonts w:cs="Arial" w:ascii="Verdana" w:hAnsi="Verdana"/>
                <w:b/>
                <w:bCs/>
                <w:sz w:val="20"/>
                <w:szCs w:val="20"/>
                <w:u w:val="none"/>
              </w:rPr>
              <w:t>estimado</w:t>
            </w:r>
          </w:p>
        </w:tc>
      </w:tr>
      <w:tr>
        <w:trPr>
          <w:trHeight w:val="269" w:hRule="atLeast"/>
        </w:trPr>
        <w:tc>
          <w:tcPr>
            <w:tcW w:w="735" w:type="dxa"/>
            <w:tcBorders>
              <w:left w:val="single" w:sz="4" w:space="0" w:color="000000"/>
              <w:bottom w:val="single" w:sz="4" w:space="0" w:color="000000"/>
              <w:right w:val="single" w:sz="4" w:space="0" w:color="000000"/>
            </w:tcBorders>
            <w:vAlign w:val="center"/>
          </w:tcPr>
          <w:p>
            <w:pPr>
              <w:pStyle w:val="Contedodatabela"/>
              <w:widowControl w:val="false"/>
              <w:tabs>
                <w:tab w:val="clear" w:pos="708"/>
              </w:tabs>
              <w:spacing w:lineRule="auto" w:line="276" w:before="57" w:after="57"/>
              <w:ind w:left="0" w:right="0"/>
              <w:jc w:val="center"/>
              <w:rPr>
                <w:rFonts w:ascii="Verdana" w:hAnsi="Verdana"/>
                <w:sz w:val="20"/>
                <w:szCs w:val="20"/>
              </w:rPr>
            </w:pPr>
            <w:r>
              <w:rPr>
                <w:rFonts w:cs="Arial" w:ascii="Verdana" w:hAnsi="Verdana"/>
                <w:b w:val="false"/>
                <w:bCs w:val="false"/>
                <w:sz w:val="20"/>
                <w:szCs w:val="20"/>
                <w:u w:val="none"/>
              </w:rPr>
              <w:t>01</w:t>
            </w:r>
          </w:p>
        </w:tc>
        <w:tc>
          <w:tcPr>
            <w:tcW w:w="3625" w:type="dxa"/>
            <w:tcBorders>
              <w:left w:val="single" w:sz="4" w:space="0" w:color="000000"/>
              <w:bottom w:val="single" w:sz="4" w:space="0" w:color="000000"/>
              <w:right w:val="single" w:sz="4" w:space="0" w:color="000000"/>
            </w:tcBorders>
            <w:vAlign w:val="center"/>
          </w:tcPr>
          <w:p>
            <w:pPr>
              <w:pStyle w:val="PargrafodaLista"/>
              <w:widowControl w:val="false"/>
              <w:snapToGrid w:val="false"/>
              <w:spacing w:lineRule="auto" w:line="276" w:before="57" w:after="57"/>
              <w:ind w:hanging="0" w:left="0" w:right="0"/>
              <w:contextualSpacing w:val="false"/>
              <w:jc w:val="both"/>
              <w:rPr>
                <w:rFonts w:ascii="Verdana" w:hAnsi="Verdana"/>
                <w:color w:val="auto"/>
                <w:sz w:val="20"/>
                <w:szCs w:val="20"/>
              </w:rPr>
            </w:pPr>
            <w:r>
              <w:rPr>
                <w:rFonts w:cs="Arial" w:ascii="Verdana" w:hAnsi="Verdana"/>
                <w:b/>
                <w:color w:val="auto"/>
                <w:sz w:val="20"/>
                <w:szCs w:val="20"/>
              </w:rPr>
              <w:t>IMPRESSORA A LASER COM AS SEGUINTES ESPECIFICAÇÕES:</w:t>
            </w:r>
          </w:p>
          <w:p>
            <w:pPr>
              <w:pStyle w:val="PargrafodaLista"/>
              <w:widowControl w:val="false"/>
              <w:snapToGrid w:val="false"/>
              <w:spacing w:lineRule="auto" w:line="276" w:before="57" w:after="57"/>
              <w:ind w:hanging="0" w:left="0" w:right="0"/>
              <w:contextualSpacing w:val="false"/>
              <w:jc w:val="both"/>
              <w:rPr>
                <w:rFonts w:ascii="Verdana" w:hAnsi="Verdana"/>
                <w:color w:val="auto"/>
                <w:sz w:val="20"/>
                <w:szCs w:val="20"/>
              </w:rPr>
            </w:pPr>
            <w:r>
              <w:rPr>
                <w:rFonts w:cs="Arial" w:ascii="Verdana" w:hAnsi="Verdana"/>
                <w:b/>
                <w:color w:val="auto"/>
                <w:sz w:val="20"/>
                <w:szCs w:val="20"/>
              </w:rPr>
              <w:t>* MONO A4;</w:t>
            </w:r>
          </w:p>
          <w:p>
            <w:pPr>
              <w:pStyle w:val="PargrafodaLista"/>
              <w:widowControl w:val="false"/>
              <w:snapToGrid w:val="false"/>
              <w:spacing w:lineRule="auto" w:line="276" w:before="57" w:after="57"/>
              <w:ind w:hanging="0" w:left="0" w:right="0"/>
              <w:contextualSpacing w:val="false"/>
              <w:jc w:val="both"/>
              <w:rPr>
                <w:rFonts w:ascii="Verdana" w:hAnsi="Verdana"/>
                <w:color w:val="auto"/>
                <w:sz w:val="20"/>
                <w:szCs w:val="20"/>
              </w:rPr>
            </w:pPr>
            <w:r>
              <w:rPr>
                <w:rFonts w:cs="Arial" w:ascii="Verdana" w:hAnsi="Verdana"/>
                <w:b/>
                <w:color w:val="auto"/>
                <w:sz w:val="20"/>
                <w:szCs w:val="20"/>
              </w:rPr>
              <w:t>* TECNOLOGIA DE CONECTIVIDADE: USB;</w:t>
            </w:r>
          </w:p>
          <w:p>
            <w:pPr>
              <w:pStyle w:val="PargrafodaLista"/>
              <w:widowControl w:val="false"/>
              <w:snapToGrid w:val="false"/>
              <w:spacing w:lineRule="auto" w:line="276" w:before="57" w:after="57"/>
              <w:ind w:hanging="0" w:left="0" w:right="0"/>
              <w:contextualSpacing w:val="false"/>
              <w:jc w:val="both"/>
              <w:rPr>
                <w:rFonts w:ascii="Verdana" w:hAnsi="Verdana"/>
                <w:color w:val="auto"/>
                <w:sz w:val="20"/>
                <w:szCs w:val="20"/>
              </w:rPr>
            </w:pPr>
            <w:r>
              <w:rPr>
                <w:rFonts w:cs="Arial" w:ascii="Verdana" w:hAnsi="Verdana"/>
                <w:b/>
                <w:color w:val="auto"/>
                <w:sz w:val="20"/>
                <w:szCs w:val="20"/>
              </w:rPr>
              <w:t>* TECNOLOGIA DE IMPRESSÃO: À LASER;</w:t>
            </w:r>
          </w:p>
          <w:p>
            <w:pPr>
              <w:pStyle w:val="PargrafodaLista"/>
              <w:widowControl w:val="false"/>
              <w:snapToGrid w:val="false"/>
              <w:spacing w:lineRule="auto" w:line="276" w:before="57" w:after="57"/>
              <w:ind w:hanging="0" w:left="0" w:right="0"/>
              <w:contextualSpacing w:val="false"/>
              <w:jc w:val="both"/>
              <w:rPr>
                <w:rFonts w:ascii="Verdana" w:hAnsi="Verdana"/>
                <w:color w:val="auto"/>
                <w:sz w:val="20"/>
                <w:szCs w:val="20"/>
              </w:rPr>
            </w:pPr>
            <w:r>
              <w:rPr>
                <w:rFonts w:cs="Arial" w:ascii="Verdana" w:hAnsi="Verdana"/>
                <w:b/>
                <w:color w:val="auto"/>
                <w:sz w:val="20"/>
                <w:szCs w:val="20"/>
              </w:rPr>
              <w:t>* COR: PRETO;</w:t>
            </w:r>
          </w:p>
          <w:p>
            <w:pPr>
              <w:pStyle w:val="PargrafodaLista"/>
              <w:widowControl w:val="false"/>
              <w:snapToGrid w:val="false"/>
              <w:spacing w:lineRule="auto" w:line="276" w:before="57" w:after="57"/>
              <w:ind w:hanging="0" w:left="0" w:right="0"/>
              <w:contextualSpacing w:val="false"/>
              <w:jc w:val="both"/>
              <w:rPr>
                <w:rFonts w:ascii="Verdana" w:hAnsi="Verdana"/>
                <w:color w:val="auto"/>
                <w:sz w:val="20"/>
                <w:szCs w:val="20"/>
              </w:rPr>
            </w:pPr>
            <w:r>
              <w:rPr>
                <w:rFonts w:cs="Arial" w:ascii="Verdana" w:hAnsi="Verdana"/>
                <w:b/>
                <w:color w:val="auto"/>
                <w:sz w:val="20"/>
                <w:szCs w:val="20"/>
              </w:rPr>
              <w:t>* MODELO: HL 1212 W;</w:t>
            </w:r>
          </w:p>
          <w:p>
            <w:pPr>
              <w:pStyle w:val="PargrafodaLista"/>
              <w:widowControl w:val="false"/>
              <w:snapToGrid w:val="false"/>
              <w:spacing w:lineRule="auto" w:line="276" w:before="57" w:after="57"/>
              <w:ind w:hanging="0" w:left="0" w:right="0"/>
              <w:contextualSpacing w:val="false"/>
              <w:jc w:val="both"/>
              <w:rPr>
                <w:rFonts w:ascii="Verdana" w:hAnsi="Verdana"/>
                <w:color w:val="auto"/>
                <w:sz w:val="20"/>
                <w:szCs w:val="20"/>
              </w:rPr>
            </w:pPr>
            <w:r>
              <w:rPr>
                <w:rFonts w:cs="Arial" w:ascii="Verdana" w:hAnsi="Verdana"/>
                <w:b/>
                <w:color w:val="auto"/>
                <w:sz w:val="20"/>
                <w:szCs w:val="20"/>
              </w:rPr>
              <w:t>* SAÍDA DA IMPRESSORA: MONOCROMÁTICA;</w:t>
            </w:r>
          </w:p>
          <w:p>
            <w:pPr>
              <w:pStyle w:val="PargrafodaLista"/>
              <w:widowControl w:val="false"/>
              <w:snapToGrid w:val="false"/>
              <w:spacing w:lineRule="auto" w:line="276" w:before="57" w:after="57"/>
              <w:ind w:hanging="0" w:left="0" w:right="0"/>
              <w:contextualSpacing w:val="false"/>
              <w:jc w:val="both"/>
              <w:rPr>
                <w:rFonts w:ascii="Verdana" w:hAnsi="Verdana"/>
                <w:color w:val="auto"/>
                <w:sz w:val="20"/>
                <w:szCs w:val="20"/>
              </w:rPr>
            </w:pPr>
            <w:r>
              <w:rPr>
                <w:rFonts w:cs="Arial" w:ascii="Verdana" w:hAnsi="Verdana"/>
                <w:b/>
                <w:color w:val="auto"/>
                <w:sz w:val="20"/>
                <w:szCs w:val="20"/>
              </w:rPr>
              <w:t>* VELOCIDADE MÁXIMA DE IMPRESSÃO (COR): 21 ppm;</w:t>
            </w:r>
          </w:p>
          <w:p>
            <w:pPr>
              <w:pStyle w:val="PargrafodaLista"/>
              <w:widowControl w:val="false"/>
              <w:snapToGrid w:val="false"/>
              <w:spacing w:lineRule="auto" w:line="276" w:before="57" w:after="57"/>
              <w:ind w:hanging="0" w:left="0" w:right="0"/>
              <w:contextualSpacing w:val="false"/>
              <w:jc w:val="both"/>
              <w:rPr>
                <w:rFonts w:ascii="Verdana" w:hAnsi="Verdana"/>
                <w:color w:val="auto"/>
                <w:sz w:val="20"/>
                <w:szCs w:val="20"/>
              </w:rPr>
            </w:pPr>
            <w:r>
              <w:rPr>
                <w:rFonts w:cs="Arial" w:ascii="Verdana" w:hAnsi="Verdana"/>
                <w:b/>
                <w:color w:val="auto"/>
                <w:sz w:val="20"/>
                <w:szCs w:val="20"/>
              </w:rPr>
              <w:t>* VELOCIDADE MÁXIMA DE IMPRESSÃO MONOCROMÁTICA: 21 ppm;</w:t>
            </w:r>
          </w:p>
          <w:p>
            <w:pPr>
              <w:pStyle w:val="PargrafodaLista"/>
              <w:widowControl w:val="false"/>
              <w:snapToGrid w:val="false"/>
              <w:spacing w:lineRule="auto" w:line="276" w:before="57" w:after="57"/>
              <w:ind w:hanging="0" w:left="0" w:right="0"/>
              <w:contextualSpacing w:val="false"/>
              <w:jc w:val="both"/>
              <w:rPr>
                <w:rFonts w:ascii="Verdana" w:hAnsi="Verdana"/>
                <w:color w:val="auto"/>
                <w:sz w:val="20"/>
                <w:szCs w:val="20"/>
              </w:rPr>
            </w:pPr>
            <w:r>
              <w:rPr>
                <w:rFonts w:cs="Arial" w:ascii="Verdana" w:hAnsi="Verdana"/>
                <w:b/>
                <w:color w:val="auto"/>
                <w:sz w:val="20"/>
                <w:szCs w:val="20"/>
              </w:rPr>
              <w:t xml:space="preserve">* DIMENSÕES APROXIMADAS: 34P X 18,9 L X 23,8 A CENTÍMETROS </w:t>
            </w:r>
            <w:r>
              <w:rPr>
                <w:rFonts w:cs="Arial" w:ascii="Verdana" w:hAnsi="Verdana"/>
                <w:b w:val="false"/>
                <w:bCs w:val="false"/>
                <w:color w:val="auto"/>
                <w:sz w:val="20"/>
                <w:szCs w:val="20"/>
              </w:rPr>
              <w:t>(</w:t>
            </w:r>
            <w:r>
              <w:rPr>
                <w:rFonts w:cs="Amazon Ember;Arial" w:ascii="Verdana" w:hAnsi="Verdana"/>
                <w:b w:val="false"/>
                <w:i w:val="false"/>
                <w:caps w:val="false"/>
                <w:smallCaps w:val="false"/>
                <w:color w:val="auto"/>
                <w:spacing w:val="0"/>
                <w:sz w:val="20"/>
                <w:szCs w:val="20"/>
              </w:rPr>
              <w:t>tamanho compacto permite que seja facilmente colocada em qualquer ambiente e sua resolução permite imprimir documentos claros e bem definidos</w:t>
            </w:r>
            <w:r>
              <w:rPr>
                <w:rFonts w:cs="Arial" w:ascii="Verdana" w:hAnsi="Verdana"/>
                <w:b w:val="false"/>
                <w:bCs w:val="false"/>
                <w:color w:val="auto"/>
                <w:sz w:val="20"/>
                <w:szCs w:val="20"/>
              </w:rPr>
              <w:t>).</w:t>
            </w:r>
          </w:p>
          <w:p>
            <w:pPr>
              <w:pStyle w:val="PargrafodaLista"/>
              <w:widowControl w:val="false"/>
              <w:snapToGrid w:val="false"/>
              <w:spacing w:lineRule="auto" w:line="276" w:before="57" w:after="57"/>
              <w:ind w:hanging="0" w:left="0" w:right="0"/>
              <w:contextualSpacing w:val="false"/>
              <w:jc w:val="both"/>
              <w:rPr>
                <w:rFonts w:ascii="Verdana" w:hAnsi="Verdana"/>
                <w:color w:val="auto"/>
                <w:sz w:val="20"/>
                <w:szCs w:val="20"/>
              </w:rPr>
            </w:pPr>
            <w:r>
              <w:rPr>
                <w:rFonts w:cs="Arial" w:ascii="Verdana" w:hAnsi="Verdana"/>
                <w:b/>
                <w:bCs w:val="false"/>
                <w:i w:val="false"/>
                <w:caps w:val="false"/>
                <w:smallCaps w:val="false"/>
                <w:color w:val="000000"/>
                <w:spacing w:val="0"/>
                <w:sz w:val="20"/>
                <w:szCs w:val="20"/>
                <w:shd w:fill="FFFFFF" w:val="clear"/>
              </w:rPr>
              <w:t>GARANTIA MÍNIMA: 12 MESES</w:t>
            </w:r>
          </w:p>
        </w:tc>
        <w:tc>
          <w:tcPr>
            <w:tcW w:w="959" w:type="dxa"/>
            <w:tcBorders>
              <w:left w:val="single" w:sz="4" w:space="0" w:color="000000"/>
              <w:bottom w:val="single" w:sz="4" w:space="0" w:color="000000"/>
            </w:tcBorders>
            <w:vAlign w:val="center"/>
          </w:tcPr>
          <w:p>
            <w:pPr>
              <w:pStyle w:val="Normal"/>
              <w:widowControl w:val="false"/>
              <w:spacing w:lineRule="auto" w:line="276" w:before="57" w:after="57"/>
              <w:ind w:left="0" w:right="0"/>
              <w:jc w:val="center"/>
              <w:rPr>
                <w:rFonts w:ascii="Verdana" w:hAnsi="Verdana"/>
                <w:sz w:val="20"/>
                <w:szCs w:val="20"/>
              </w:rPr>
            </w:pPr>
            <w:r>
              <w:rPr>
                <w:rFonts w:eastAsia="Times New Roman" w:cs="Times New Roman" w:ascii="Verdana" w:hAnsi="Verdana"/>
                <w:sz w:val="20"/>
                <w:szCs w:val="20"/>
                <w:lang w:val="pt-BR"/>
              </w:rPr>
              <w:t>40</w:t>
            </w:r>
          </w:p>
        </w:tc>
        <w:tc>
          <w:tcPr>
            <w:tcW w:w="921" w:type="dxa"/>
            <w:tcBorders>
              <w:left w:val="single" w:sz="4" w:space="0" w:color="000000"/>
              <w:bottom w:val="single" w:sz="4" w:space="0" w:color="000000"/>
            </w:tcBorders>
            <w:vAlign w:val="center"/>
          </w:tcPr>
          <w:p>
            <w:pPr>
              <w:pStyle w:val="Normal"/>
              <w:widowControl w:val="false"/>
              <w:spacing w:lineRule="auto" w:line="276" w:before="57" w:after="57"/>
              <w:ind w:left="0" w:right="0"/>
              <w:jc w:val="center"/>
              <w:rPr>
                <w:rFonts w:ascii="Verdana" w:hAnsi="Verdana"/>
                <w:sz w:val="20"/>
                <w:szCs w:val="20"/>
              </w:rPr>
            </w:pPr>
            <w:r>
              <w:rPr>
                <w:rFonts w:eastAsia="Times New Roman" w:cs="Times New Roman" w:ascii="Verdana" w:hAnsi="Verdana"/>
                <w:sz w:val="20"/>
                <w:szCs w:val="20"/>
                <w:lang w:val="pt-BR"/>
              </w:rPr>
              <w:t>UND</w:t>
            </w:r>
          </w:p>
        </w:tc>
        <w:tc>
          <w:tcPr>
            <w:tcW w:w="1454" w:type="dxa"/>
            <w:tcBorders>
              <w:left w:val="single" w:sz="4" w:space="0" w:color="000000"/>
              <w:bottom w:val="single" w:sz="4" w:space="0" w:color="000000"/>
              <w:right w:val="single" w:sz="4" w:space="0" w:color="000000"/>
            </w:tcBorders>
            <w:vAlign w:val="center"/>
          </w:tcPr>
          <w:p>
            <w:pPr>
              <w:pStyle w:val="Normal"/>
              <w:widowControl w:val="false"/>
              <w:spacing w:lineRule="auto" w:line="276" w:before="57" w:after="57"/>
              <w:ind w:left="0" w:right="0"/>
              <w:jc w:val="center"/>
              <w:rPr>
                <w:rFonts w:ascii="Verdana" w:hAnsi="Verdana"/>
                <w:sz w:val="20"/>
                <w:szCs w:val="20"/>
              </w:rPr>
            </w:pPr>
            <w:r>
              <w:rPr>
                <w:rFonts w:ascii="Verdana" w:hAnsi="Verdana"/>
                <w:sz w:val="20"/>
                <w:szCs w:val="20"/>
              </w:rPr>
              <w:t>R$ 1.210,97</w:t>
            </w:r>
          </w:p>
        </w:tc>
        <w:tc>
          <w:tcPr>
            <w:tcW w:w="1586" w:type="dxa"/>
            <w:tcBorders>
              <w:left w:val="single" w:sz="4" w:space="0" w:color="000000"/>
              <w:bottom w:val="single" w:sz="4" w:space="0" w:color="000000"/>
              <w:right w:val="single" w:sz="4" w:space="0" w:color="000000"/>
            </w:tcBorders>
            <w:vAlign w:val="center"/>
          </w:tcPr>
          <w:p>
            <w:pPr>
              <w:pStyle w:val="Normal"/>
              <w:widowControl w:val="false"/>
              <w:spacing w:lineRule="auto" w:line="276" w:before="57" w:after="57"/>
              <w:ind w:left="0" w:right="0"/>
              <w:jc w:val="center"/>
              <w:rPr>
                <w:rFonts w:ascii="Verdana" w:hAnsi="Verdana"/>
                <w:sz w:val="20"/>
                <w:szCs w:val="20"/>
              </w:rPr>
            </w:pPr>
            <w:r>
              <w:rPr>
                <w:rFonts w:ascii="Verdana" w:hAnsi="Verdana"/>
                <w:sz w:val="20"/>
                <w:szCs w:val="20"/>
              </w:rPr>
              <w:t>R$ 48.438,80</w:t>
            </w:r>
          </w:p>
        </w:tc>
      </w:tr>
      <w:tr>
        <w:trPr>
          <w:trHeight w:val="514" w:hRule="atLeast"/>
        </w:trPr>
        <w:tc>
          <w:tcPr>
            <w:tcW w:w="9280" w:type="dxa"/>
            <w:gridSpan w:val="6"/>
            <w:tcBorders>
              <w:left w:val="single" w:sz="4" w:space="0" w:color="000000"/>
              <w:bottom w:val="single" w:sz="4" w:space="0" w:color="000000"/>
              <w:right w:val="single" w:sz="4" w:space="0" w:color="000000"/>
            </w:tcBorders>
            <w:vAlign w:val="center"/>
          </w:tcPr>
          <w:p>
            <w:pPr>
              <w:pStyle w:val="Normal"/>
              <w:widowControl w:val="false"/>
              <w:tabs>
                <w:tab w:val="clear" w:pos="708"/>
              </w:tabs>
              <w:spacing w:lineRule="auto" w:line="276" w:before="57" w:after="57"/>
              <w:ind w:left="0" w:right="0"/>
              <w:jc w:val="right"/>
              <w:rPr>
                <w:rFonts w:ascii="Verdana" w:hAnsi="Verdana"/>
                <w:sz w:val="20"/>
                <w:szCs w:val="20"/>
              </w:rPr>
            </w:pPr>
            <w:r>
              <w:rPr>
                <w:rFonts w:cs="Arial" w:ascii="Verdana" w:hAnsi="Verdana"/>
                <w:b/>
                <w:bCs/>
                <w:sz w:val="20"/>
                <w:szCs w:val="20"/>
              </w:rPr>
              <w:t>VALOR ESTIMADO TOTAL R$ 48.438,80</w:t>
            </w:r>
          </w:p>
        </w:tc>
      </w:tr>
    </w:tbl>
    <w:p>
      <w:pPr>
        <w:pStyle w:val="Normal"/>
        <w:widowControl w:val="false"/>
        <w:tabs>
          <w:tab w:val="clear" w:pos="708"/>
          <w:tab w:val="left" w:pos="0" w:leader="none"/>
        </w:tabs>
        <w:suppressAutoHyphens w:val="false"/>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suppressAutoHyphens w:val="false"/>
        <w:spacing w:lineRule="auto" w:line="276" w:before="57" w:after="57"/>
        <w:ind w:hanging="0" w:left="0" w:right="0"/>
        <w:jc w:val="both"/>
        <w:rPr>
          <w:rFonts w:ascii="Verdana" w:hAnsi="Verdana"/>
          <w:sz w:val="20"/>
          <w:szCs w:val="20"/>
        </w:rPr>
      </w:pPr>
      <w:r>
        <w:rPr>
          <w:rFonts w:ascii="Verdana" w:hAnsi="Verdana"/>
          <w:b w:val="false"/>
          <w:bCs w:val="false"/>
          <w:iCs/>
          <w:sz w:val="20"/>
          <w:szCs w:val="20"/>
        </w:rPr>
        <w:t>1.2</w:t>
      </w:r>
      <w:bookmarkStart w:id="0" w:name="art23§712"/>
      <w:r>
        <w:rPr>
          <w:rFonts w:ascii="Verdana" w:hAnsi="Verdana"/>
          <w:b w:val="false"/>
          <w:bCs w:val="false"/>
          <w:iCs/>
          <w:sz w:val="20"/>
          <w:szCs w:val="20"/>
        </w:rPr>
        <w:t>. As impressoras deverão obrigatoriamente, atender as exigências de qualidade, observados os padrões e normas baixadas pelos órgãos competentes de controle e fiscalização de qualidade industrial ou equiparadas.</w:t>
      </w:r>
      <w:bookmarkStart w:id="1" w:name="art23§711"/>
    </w:p>
    <w:p>
      <w:pPr>
        <w:pStyle w:val="ListParagraph"/>
        <w:suppressAutoHyphens w:val="false"/>
        <w:spacing w:lineRule="auto" w:line="276" w:before="57" w:after="57"/>
        <w:ind w:hanging="0" w:left="0" w:right="0"/>
        <w:contextualSpacing w:val="false"/>
        <w:jc w:val="both"/>
        <w:rPr>
          <w:rFonts w:ascii="Verdana" w:hAnsi="Verdana"/>
          <w:sz w:val="20"/>
          <w:szCs w:val="20"/>
        </w:rPr>
      </w:pPr>
      <w:r>
        <w:rPr>
          <w:rFonts w:ascii="Verdana" w:hAnsi="Verdana"/>
          <w:b w:val="false"/>
          <w:bCs w:val="false"/>
          <w:iCs/>
          <w:sz w:val="20"/>
          <w:szCs w:val="20"/>
        </w:rPr>
        <w:t>1.3.</w:t>
      </w:r>
      <w:r>
        <w:rPr>
          <w:rFonts w:ascii="Verdana" w:hAnsi="Verdana"/>
          <w:b w:val="false"/>
          <w:bCs w:val="false"/>
          <w:iCs/>
          <w:sz w:val="20"/>
          <w:szCs w:val="20"/>
          <w:u w:val="none"/>
        </w:rPr>
        <w:t xml:space="preserve"> </w:t>
      </w:r>
      <w:r>
        <w:rPr>
          <w:rFonts w:cs="Arial" w:ascii="Verdana" w:hAnsi="Verdana"/>
          <w:b w:val="false"/>
          <w:bCs w:val="false"/>
          <w:iCs/>
          <w:color w:val="000000"/>
          <w:sz w:val="20"/>
          <w:szCs w:val="20"/>
          <w:u w:val="none"/>
        </w:rPr>
        <w:t xml:space="preserve">O prazo de vigência da </w:t>
      </w:r>
      <w:r>
        <w:rPr>
          <w:rFonts w:eastAsia="Times New Roman" w:cs="Arial" w:ascii="Verdana" w:hAnsi="Verdana"/>
          <w:b w:val="false"/>
          <w:bCs w:val="false"/>
          <w:iCs/>
          <w:color w:val="000000"/>
          <w:sz w:val="20"/>
          <w:szCs w:val="20"/>
          <w:u w:val="none"/>
        </w:rPr>
        <w:t>aquisição</w:t>
      </w:r>
      <w:r>
        <w:rPr>
          <w:rFonts w:cs="Arial" w:ascii="Verdana" w:hAnsi="Verdana"/>
          <w:b w:val="false"/>
          <w:bCs w:val="false"/>
          <w:iCs/>
          <w:color w:val="000000"/>
          <w:sz w:val="20"/>
          <w:szCs w:val="20"/>
          <w:u w:val="none"/>
        </w:rPr>
        <w:t xml:space="preserve"> será de 01 (</w:t>
      </w:r>
      <w:r>
        <w:rPr>
          <w:rFonts w:eastAsia="Times New Roman" w:cs="Arial" w:ascii="Verdana" w:hAnsi="Verdana"/>
          <w:b w:val="false"/>
          <w:bCs w:val="false"/>
          <w:iCs/>
          <w:color w:val="000000"/>
          <w:sz w:val="20"/>
          <w:szCs w:val="20"/>
          <w:u w:val="none"/>
        </w:rPr>
        <w:t>um</w:t>
      </w:r>
      <w:r>
        <w:rPr>
          <w:rFonts w:cs="Arial" w:ascii="Verdana" w:hAnsi="Verdana"/>
          <w:b w:val="false"/>
          <w:bCs w:val="false"/>
          <w:iCs/>
          <w:color w:val="000000"/>
          <w:sz w:val="20"/>
          <w:szCs w:val="20"/>
          <w:u w:val="none"/>
        </w:rPr>
        <w:t>) ano, contados a partir da assinatura da Ata de Registro de Preços.</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Verdana" w:hAnsi="Verdana"/>
          <w:sz w:val="20"/>
          <w:szCs w:val="20"/>
        </w:rPr>
      </w:pPr>
      <w:r>
        <w:rPr>
          <w:rFonts w:eastAsia="Times New Roman" w:cs="Times New Roman" w:ascii="Verdana" w:hAnsi="Verdana"/>
          <w:b w:val="false"/>
          <w:bCs w:val="false"/>
          <w:iCs/>
          <w:color w:val="000000"/>
          <w:sz w:val="20"/>
          <w:szCs w:val="20"/>
        </w:rPr>
        <w:t>1.4. O custo estimado total da aquisição é de</w:t>
      </w:r>
      <w:r>
        <w:rPr>
          <w:rFonts w:eastAsia="Times New Roman" w:cs="Times New Roman" w:ascii="Verdana" w:hAnsi="Verdana"/>
          <w:b w:val="false"/>
          <w:bCs w:val="false"/>
          <w:i/>
          <w:iCs/>
          <w:color w:val="FF0000"/>
          <w:sz w:val="20"/>
          <w:szCs w:val="20"/>
        </w:rPr>
        <w:t xml:space="preserve"> </w:t>
      </w:r>
      <w:r>
        <w:rPr>
          <w:rFonts w:eastAsia="Times New Roman" w:cs="Arial" w:ascii="Verdana" w:hAnsi="Verdana"/>
          <w:b w:val="false"/>
          <w:bCs w:val="false"/>
          <w:i w:val="false"/>
          <w:iCs w:val="false"/>
          <w:color w:val="000000"/>
          <w:sz w:val="20"/>
          <w:szCs w:val="20"/>
          <w:lang w:eastAsia="zh-CN"/>
        </w:rPr>
        <w:t xml:space="preserve">R$ </w:t>
      </w:r>
      <w:r>
        <w:rPr>
          <w:rFonts w:eastAsia="Times New Roman" w:cs="Arial" w:ascii="Verdana" w:hAnsi="Verdana"/>
          <w:b/>
          <w:bCs/>
          <w:i w:val="false"/>
          <w:iCs w:val="false"/>
          <w:color w:val="111111"/>
          <w:sz w:val="20"/>
          <w:szCs w:val="20"/>
          <w:lang w:eastAsia="zh-CN"/>
        </w:rPr>
        <w:t>48.438,80</w:t>
      </w:r>
      <w:r>
        <w:rPr>
          <w:rFonts w:eastAsia="Times New Roman" w:cs="Arial" w:ascii="Verdana" w:hAnsi="Verdana"/>
          <w:b w:val="false"/>
          <w:bCs w:val="false"/>
          <w:i w:val="false"/>
          <w:iCs w:val="false"/>
          <w:color w:val="000000"/>
          <w:sz w:val="20"/>
          <w:szCs w:val="20"/>
          <w:lang w:eastAsia="zh-CN"/>
        </w:rPr>
        <w:t xml:space="preserve"> (quarenta e oito mil quatrocentos e trinta e oito reais e oitenta centavos)</w:t>
      </w:r>
      <w:r>
        <w:rPr>
          <w:rFonts w:eastAsia="Times New Roman" w:cs="Times New Roman" w:ascii="Verdana" w:hAnsi="Verdana"/>
          <w:b w:val="false"/>
          <w:bCs w:val="false"/>
          <w:i/>
          <w:iCs/>
          <w:color w:val="000000"/>
          <w:sz w:val="20"/>
          <w:szCs w:val="20"/>
        </w:rPr>
        <w:t xml:space="preserve"> </w:t>
      </w:r>
      <w:r>
        <w:rPr>
          <w:rFonts w:eastAsia="Times New Roman" w:cs="Times New Roman" w:ascii="Verdana" w:hAnsi="Verdana"/>
          <w:b w:val="false"/>
          <w:bCs w:val="false"/>
          <w:iCs/>
          <w:color w:val="000000"/>
          <w:sz w:val="20"/>
          <w:szCs w:val="20"/>
        </w:rPr>
        <w:t>conforme custos unitários apostos nos orçame</w:t>
      </w:r>
      <w:r>
        <w:rPr>
          <w:rFonts w:eastAsia="Times New Roman" w:cs="Times New Roman" w:ascii="Verdana" w:hAnsi="Verdana"/>
          <w:iCs/>
          <w:color w:val="000000"/>
          <w:sz w:val="20"/>
          <w:szCs w:val="20"/>
        </w:rPr>
        <w:t>ntos e no quadro comparativo de preços simples em anexo.</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Verdana" w:hAnsi="Verdana"/>
          <w:sz w:val="20"/>
          <w:szCs w:val="20"/>
        </w:rPr>
      </w:pPr>
      <w:r>
        <w:rPr>
          <w:rFonts w:ascii="Verdana" w:hAnsi="Verdana"/>
          <w:b w:val="false"/>
          <w:bCs w:val="false"/>
          <w:sz w:val="20"/>
          <w:szCs w:val="20"/>
          <w:u w:val="none"/>
        </w:rPr>
        <w:t xml:space="preserve">1.5. </w:t>
      </w:r>
      <w:r>
        <w:rPr>
          <w:rFonts w:eastAsia="Times New Roman" w:cs="Times New Roman" w:ascii="Verdana" w:hAnsi="Verdana"/>
          <w:b w:val="false"/>
          <w:bCs w:val="false"/>
          <w:color w:val="000000"/>
          <w:sz w:val="20"/>
          <w:szCs w:val="20"/>
          <w:u w:val="none"/>
        </w:rPr>
        <w:t>Justifica-se a utilização de modelo de referência a fim de determinar com maior precisão a qualidade do produto que esta Administração deseja, com a finalidade de garantir maior eficiência nas compras realizadas pelo Município (art. 41, I “d, Lei 14.133/2021).</w:t>
      </w:r>
    </w:p>
    <w:p>
      <w:pPr>
        <w:pStyle w:val="ListParagraph"/>
        <w:tabs>
          <w:tab w:val="clear" w:pos="708"/>
          <w:tab w:val="left" w:pos="0" w:leader="none"/>
        </w:tabs>
        <w:suppressAutoHyphens w:val="false"/>
        <w:spacing w:lineRule="auto" w:line="276" w:before="57" w:after="57"/>
        <w:ind w:hanging="0" w:left="0" w:right="0"/>
        <w:contextualSpacing w:val="false"/>
        <w:jc w:val="both"/>
        <w:rPr>
          <w:rFonts w:ascii="Verdana" w:hAnsi="Verdana" w:cs="Arial"/>
          <w:b/>
          <w:sz w:val="20"/>
          <w:szCs w:val="20"/>
          <w:u w:val="single"/>
        </w:rPr>
      </w:pPr>
      <w:r>
        <w:rPr>
          <w:rFonts w:cs="Arial" w:ascii="Verdana" w:hAnsi="Verdana"/>
          <w:b/>
          <w:sz w:val="20"/>
          <w:szCs w:val="20"/>
          <w:u w:val="single"/>
        </w:rPr>
      </w:r>
    </w:p>
    <w:p>
      <w:pPr>
        <w:pStyle w:val="Nivel1"/>
        <w:spacing w:lineRule="auto" w:line="276" w:before="57" w:after="57"/>
        <w:ind w:hanging="0" w:left="0" w:right="0"/>
        <w:rPr>
          <w:rFonts w:ascii="Verdana" w:hAnsi="Verdana"/>
          <w:sz w:val="20"/>
          <w:szCs w:val="20"/>
        </w:rPr>
      </w:pPr>
      <w:r>
        <w:rPr>
          <w:rFonts w:cs="Times New Roman" w:ascii="Verdana" w:hAnsi="Verdana"/>
          <w:bCs/>
          <w:sz w:val="20"/>
          <w:szCs w:val="20"/>
        </w:rPr>
        <w:t>2. FUNDAMENTAÇÃO E DESCRIÇÃO DA NECESSIDADE DA AQUISIÇÃO</w:t>
      </w:r>
      <w:bookmarkStart w:id="2" w:name="art23§71"/>
      <w:bookmarkStart w:id="3" w:name="art23§73"/>
    </w:p>
    <w:p>
      <w:pPr>
        <w:pStyle w:val="ListParagraph"/>
        <w:spacing w:lineRule="auto" w:line="276" w:before="57" w:after="57"/>
        <w:ind w:hanging="0" w:left="0" w:right="0"/>
        <w:contextualSpacing w:val="false"/>
        <w:jc w:val="both"/>
        <w:rPr>
          <w:rFonts w:ascii="Verdana" w:hAnsi="Verdana"/>
          <w:sz w:val="20"/>
          <w:szCs w:val="20"/>
        </w:rPr>
      </w:pPr>
      <w:r>
        <w:rPr>
          <w:rFonts w:cs="Arial" w:ascii="Verdana" w:hAnsi="Verdana"/>
          <w:b w:val="false"/>
          <w:bCs w:val="false"/>
          <w:sz w:val="20"/>
          <w:szCs w:val="20"/>
          <w:lang w:val="pt-BR"/>
        </w:rPr>
        <w:t>2</w:t>
      </w:r>
      <w:r>
        <w:rPr>
          <w:rFonts w:cs="Arial" w:ascii="Verdana" w:hAnsi="Verdana"/>
          <w:b w:val="false"/>
          <w:bCs w:val="false"/>
          <w:sz w:val="20"/>
          <w:szCs w:val="20"/>
        </w:rPr>
        <w:t>.1</w:t>
      </w:r>
      <w:r>
        <w:rPr>
          <w:rFonts w:cs="Arial" w:ascii="Verdana" w:hAnsi="Verdana"/>
          <w:b/>
          <w:bCs/>
          <w:sz w:val="20"/>
          <w:szCs w:val="20"/>
        </w:rPr>
        <w:t xml:space="preserve">. </w:t>
      </w:r>
      <w:r>
        <w:rPr>
          <w:rFonts w:cs="Arial" w:ascii="Verdana" w:hAnsi="Verdana"/>
          <w:sz w:val="20"/>
          <w:szCs w:val="20"/>
        </w:rPr>
        <w:t xml:space="preserve">Aquisição </w:t>
      </w:r>
      <w:r>
        <w:rPr>
          <w:rFonts w:cs="Arial" w:ascii="Verdana" w:hAnsi="Verdana"/>
          <w:b/>
          <w:sz w:val="20"/>
          <w:szCs w:val="20"/>
        </w:rPr>
        <w:t xml:space="preserve">por meio de </w:t>
      </w:r>
      <w:r>
        <w:rPr>
          <w:rFonts w:cs="Arial" w:ascii="Verdana" w:hAnsi="Verdana"/>
          <w:b/>
          <w:sz w:val="20"/>
          <w:szCs w:val="20"/>
          <w:lang w:val="pt-BR"/>
        </w:rPr>
        <w:t>Registro de Preços</w:t>
      </w:r>
      <w:r>
        <w:rPr>
          <w:rFonts w:cs="Arial" w:ascii="Verdana" w:hAnsi="Verdana"/>
          <w:sz w:val="20"/>
          <w:szCs w:val="20"/>
          <w:lang w:val="pt-BR"/>
        </w:rPr>
        <w:t>;</w:t>
      </w:r>
    </w:p>
    <w:p>
      <w:pPr>
        <w:pStyle w:val="PargrafodaLista"/>
        <w:widowControl w:val="false"/>
        <w:tabs>
          <w:tab w:val="clear" w:pos="708"/>
          <w:tab w:val="left" w:pos="-2410" w:leader="none"/>
          <w:tab w:val="left" w:pos="567" w:leader="none"/>
        </w:tabs>
        <w:spacing w:lineRule="auto" w:line="276" w:before="57" w:after="57"/>
        <w:ind w:hanging="0" w:left="0" w:right="0"/>
        <w:contextualSpacing w:val="false"/>
        <w:jc w:val="both"/>
        <w:rPr>
          <w:rFonts w:ascii="Verdana" w:hAnsi="Verdana"/>
          <w:sz w:val="20"/>
          <w:szCs w:val="20"/>
        </w:rPr>
      </w:pPr>
      <w:r>
        <w:rPr>
          <w:rFonts w:cs="Arial" w:ascii="Verdana" w:hAnsi="Verdana"/>
          <w:b w:val="false"/>
          <w:bCs w:val="false"/>
          <w:color w:val="000000"/>
          <w:sz w:val="20"/>
          <w:szCs w:val="20"/>
          <w:shd w:fill="auto" w:val="clear"/>
        </w:rPr>
        <w:t>2.2</w:t>
      </w:r>
      <w:r>
        <w:rPr>
          <w:rFonts w:cs="Arial" w:ascii="Verdana" w:hAnsi="Verdana"/>
          <w:b/>
          <w:bCs/>
          <w:color w:val="000000"/>
          <w:sz w:val="20"/>
          <w:szCs w:val="20"/>
          <w:shd w:fill="auto" w:val="clear"/>
        </w:rPr>
        <w:t xml:space="preserve">. </w:t>
      </w:r>
      <w:r>
        <w:rPr>
          <w:rFonts w:cs="Arial" w:ascii="Verdana" w:hAnsi="Verdana"/>
          <w:b w:val="false"/>
          <w:bCs w:val="false"/>
          <w:color w:val="000000"/>
          <w:sz w:val="20"/>
          <w:szCs w:val="20"/>
          <w:shd w:fill="auto" w:val="clear"/>
        </w:rPr>
        <w:t>Garantir melhorias nos consultórios médicos durante os atendimentos, pois é necessário que o profissional de Saúde tenha condições básicas para executar suas demandas, podendo assim atender ao paciente e no mesmo instante já realizar a impressão de pedidos médicos e exames.</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2.3</w:t>
      </w:r>
      <w:r>
        <w:rPr>
          <w:rFonts w:cs="Arial" w:ascii="Verdana" w:hAnsi="Verdana"/>
          <w:b/>
          <w:bCs/>
          <w:color w:val="000000"/>
          <w:sz w:val="20"/>
          <w:szCs w:val="20"/>
          <w:shd w:fill="auto" w:val="clear"/>
        </w:rPr>
        <w:t xml:space="preserve">. </w:t>
      </w:r>
      <w:r>
        <w:rPr>
          <w:rFonts w:cs="Arial" w:ascii="Verdana" w:hAnsi="Verdana"/>
          <w:b w:val="false"/>
          <w:bCs w:val="false"/>
          <w:color w:val="000000"/>
          <w:sz w:val="20"/>
          <w:szCs w:val="20"/>
          <w:shd w:fill="auto" w:val="clear"/>
        </w:rPr>
        <w:t>Considerando que a Secretaria Municipal de Saúde está aprimorando os atendimentos nos consultórios médicos, tornando as informações ainda mais claras para os pacientes, pois é de suma importância que facilitar o contato entre médico, paciente e clínicas (que atenderão a esses pedidos), pois as informações ficam melhor sendo impressas de forma clara e permanente no documento.</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2.4</w:t>
      </w:r>
      <w:r>
        <w:rPr>
          <w:rFonts w:ascii="Verdana" w:hAnsi="Verdana"/>
          <w:b/>
          <w:bCs/>
          <w:sz w:val="20"/>
          <w:szCs w:val="20"/>
        </w:rPr>
        <w:t>.</w:t>
      </w:r>
      <w:r>
        <w:rPr>
          <w:rFonts w:ascii="Verdana" w:hAnsi="Verdana"/>
          <w:b w:val="false"/>
          <w:bCs w:val="false"/>
          <w:sz w:val="20"/>
          <w:szCs w:val="20"/>
        </w:rPr>
        <w:t xml:space="preserve"> Tal contratação resultar-se-á benéfica e vantajosa, tendo em vista que esta secretaria visa otimizar os atendimentos tornando os serviços ainda mais ágeis tanto para o profissional quanto para os pacientes que necessitam obter as informações com clareza e qualidade.</w:t>
      </w:r>
    </w:p>
    <w:p>
      <w:pPr>
        <w:pStyle w:val="Normal"/>
        <w:widowControl w:val="false"/>
        <w:overflowPunct w:val="false"/>
        <w:bidi w:val="0"/>
        <w:snapToGrid w:val="true"/>
        <w:spacing w:lineRule="auto" w:line="276" w:before="57" w:after="57"/>
        <w:ind w:left="0" w:right="0"/>
        <w:jc w:val="both"/>
        <w:textAlignment w:val="auto"/>
        <w:rPr>
          <w:rFonts w:ascii="Verdana" w:hAnsi="Verdana"/>
          <w:sz w:val="20"/>
          <w:szCs w:val="20"/>
        </w:rPr>
      </w:pPr>
      <w:r>
        <w:rPr>
          <w:rFonts w:ascii="Verdana" w:hAnsi="Verdana"/>
          <w:sz w:val="20"/>
          <w:szCs w:val="20"/>
        </w:rPr>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b/>
          <w:bCs/>
          <w:sz w:val="20"/>
          <w:szCs w:val="20"/>
        </w:rPr>
        <w:t>3. DESCRIÇÃO DA SOLUÇÃO</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3.1</w:t>
      </w:r>
      <w:r>
        <w:rPr>
          <w:rFonts w:cs="Arial" w:ascii="Verdana" w:hAnsi="Verdana"/>
          <w:sz w:val="20"/>
          <w:szCs w:val="20"/>
          <w:lang w:val="pt-BR"/>
        </w:rPr>
        <w:t xml:space="preserve">. A solução consiste </w:t>
      </w:r>
      <w:r>
        <w:rPr>
          <w:rFonts w:cs="Arial" w:ascii="Verdana" w:hAnsi="Verdana"/>
          <w:sz w:val="20"/>
          <w:szCs w:val="20"/>
          <w:shd w:fill="auto" w:val="clear"/>
          <w:lang w:val="pt-BR"/>
        </w:rPr>
        <w:t>em otimizar os trabalhos realizados nos consultórios médicos da Secretaria Municipal de Saúde.</w:t>
      </w:r>
    </w:p>
    <w:p>
      <w:pPr>
        <w:pStyle w:val="Normal"/>
        <w:spacing w:lineRule="auto" w:line="276" w:before="57" w:after="57"/>
        <w:ind w:hanging="0" w:left="0" w:right="0"/>
        <w:jc w:val="both"/>
        <w:rPr>
          <w:rFonts w:ascii="Verdana" w:hAnsi="Verdana"/>
          <w:sz w:val="20"/>
          <w:szCs w:val="20"/>
        </w:rPr>
      </w:pPr>
      <w:r>
        <w:rPr>
          <w:rFonts w:ascii="Verdana" w:hAnsi="Verdana"/>
          <w:sz w:val="20"/>
          <w:szCs w:val="20"/>
        </w:rPr>
      </w:r>
    </w:p>
    <w:p>
      <w:pPr>
        <w:pStyle w:val="Nivel1"/>
        <w:spacing w:lineRule="auto" w:line="276" w:before="57" w:after="57"/>
        <w:ind w:hanging="0" w:left="0" w:right="0"/>
        <w:rPr>
          <w:rFonts w:ascii="Verdana" w:hAnsi="Verdana"/>
          <w:sz w:val="20"/>
          <w:szCs w:val="20"/>
        </w:rPr>
      </w:pPr>
      <w:r>
        <w:rPr>
          <w:rFonts w:ascii="Verdana" w:hAnsi="Verdana"/>
          <w:bCs/>
          <w:sz w:val="20"/>
          <w:szCs w:val="20"/>
        </w:rPr>
        <w:t>4. CLASSIFICAÇÃO DOS BENS COMUNS</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4.1</w:t>
      </w:r>
      <w:r>
        <w:rPr>
          <w:rFonts w:cs="Arial" w:ascii="Verdana" w:hAnsi="Verdana"/>
          <w:b w:val="false"/>
          <w:bCs w:val="false"/>
          <w:color w:val="000000"/>
          <w:sz w:val="20"/>
          <w:szCs w:val="20"/>
        </w:rPr>
        <w:t xml:space="preserve">. Trata-se de bens comuns a serem contratados mediante </w:t>
      </w:r>
      <w:r>
        <w:rPr>
          <w:rFonts w:eastAsia="Times New Roman" w:cs="Arial" w:ascii="Verdana" w:hAnsi="Verdana"/>
          <w:b w:val="false"/>
          <w:bCs w:val="false"/>
          <w:color w:val="000000"/>
          <w:sz w:val="20"/>
          <w:szCs w:val="20"/>
        </w:rPr>
        <w:t>registro de preços</w:t>
      </w:r>
      <w:r>
        <w:rPr>
          <w:rFonts w:cs="Arial" w:ascii="Verdana" w:hAnsi="Verdana"/>
          <w:b w:val="false"/>
          <w:bCs w:val="false"/>
          <w:color w:val="000000"/>
          <w:sz w:val="20"/>
          <w:szCs w:val="20"/>
        </w:rPr>
        <w:t>.</w:t>
      </w:r>
    </w:p>
    <w:p>
      <w:pPr>
        <w:pStyle w:val="Normal"/>
        <w:spacing w:lineRule="auto" w:line="276" w:before="57" w:after="57"/>
        <w:ind w:hanging="0" w:left="0" w:right="0"/>
        <w:jc w:val="both"/>
        <w:rPr>
          <w:rFonts w:ascii="Verdana" w:hAnsi="Verdana"/>
          <w:sz w:val="20"/>
          <w:szCs w:val="20"/>
        </w:rPr>
      </w:pPr>
      <w:r>
        <w:rPr>
          <w:rFonts w:ascii="Verdana" w:hAnsi="Verdana"/>
          <w:sz w:val="20"/>
          <w:szCs w:val="20"/>
        </w:rPr>
      </w:r>
    </w:p>
    <w:p>
      <w:pPr>
        <w:pStyle w:val="Normal"/>
        <w:spacing w:lineRule="auto" w:line="276" w:before="57" w:after="57"/>
        <w:ind w:hanging="0" w:left="0" w:right="0"/>
        <w:jc w:val="both"/>
        <w:rPr>
          <w:rFonts w:ascii="Verdana" w:hAnsi="Verdana"/>
          <w:sz w:val="20"/>
          <w:szCs w:val="20"/>
        </w:rPr>
      </w:pPr>
      <w:r>
        <w:rPr>
          <w:rFonts w:cs="Arial" w:ascii="Verdana" w:hAnsi="Verdana"/>
          <w:b/>
          <w:bCs/>
          <w:color w:val="000000"/>
          <w:sz w:val="20"/>
          <w:szCs w:val="20"/>
        </w:rPr>
        <w:t>5. REQUISITOS DA CONTRATAÇÃO/AQUISIÇÃO</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rPr>
        <w:t xml:space="preserve">A </w:t>
      </w:r>
      <w:r>
        <w:rPr>
          <w:rFonts w:eastAsia="Times New Roman" w:cs="Times New Roman" w:ascii="Verdana" w:hAnsi="Verdana"/>
          <w:b w:val="false"/>
          <w:bCs w:val="false"/>
          <w:sz w:val="20"/>
          <w:szCs w:val="20"/>
        </w:rPr>
        <w:t>aquis</w:t>
      </w:r>
      <w:r>
        <w:rPr>
          <w:rFonts w:eastAsia="Times New Roman" w:cs="Times New Roman" w:ascii="Verdana" w:hAnsi="Verdana"/>
          <w:sz w:val="20"/>
          <w:szCs w:val="20"/>
        </w:rPr>
        <w:t>ição</w:t>
      </w:r>
      <w:r>
        <w:rPr>
          <w:rFonts w:ascii="Verdana" w:hAnsi="Verdana"/>
          <w:sz w:val="20"/>
          <w:szCs w:val="20"/>
        </w:rPr>
        <w:t xml:space="preserve"> deverá observar os seguintes requisitos:</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5.1</w:t>
      </w:r>
      <w:r>
        <w:rPr>
          <w:rFonts w:ascii="Verdana" w:hAnsi="Verdana"/>
          <w:b w:val="false"/>
          <w:bCs w:val="false"/>
          <w:sz w:val="20"/>
          <w:szCs w:val="20"/>
        </w:rPr>
        <w:t>. Não haverá danos ao meio ambiente, uma vez que a aquisição não gera problema para a Administração Pública.</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5.2</w:t>
      </w:r>
      <w:r>
        <w:rPr>
          <w:rFonts w:ascii="Verdana" w:hAnsi="Verdana"/>
          <w:b w:val="false"/>
          <w:bCs w:val="false"/>
          <w:i w:val="false"/>
          <w:iCs w:val="false"/>
          <w:sz w:val="20"/>
          <w:szCs w:val="20"/>
        </w:rPr>
        <w:t xml:space="preserve">. A aquisição se dará por </w:t>
      </w:r>
      <w:r>
        <w:rPr>
          <w:rFonts w:eastAsia="Times New Roman" w:cs="Times New Roman" w:ascii="Verdana" w:hAnsi="Verdana"/>
          <w:b w:val="false"/>
          <w:bCs w:val="false"/>
          <w:i w:val="false"/>
          <w:iCs w:val="false"/>
          <w:sz w:val="20"/>
          <w:szCs w:val="20"/>
        </w:rPr>
        <w:t>registro de preços</w:t>
      </w:r>
      <w:r>
        <w:rPr>
          <w:rFonts w:ascii="Verdana" w:hAnsi="Verdana"/>
          <w:b w:val="false"/>
          <w:bCs w:val="false"/>
          <w:i w:val="false"/>
          <w:iCs w:val="false"/>
          <w:sz w:val="20"/>
          <w:szCs w:val="20"/>
        </w:rPr>
        <w:t xml:space="preserve">, </w:t>
      </w:r>
      <w:r>
        <w:rPr>
          <w:rFonts w:eastAsia="Times New Roman" w:cs="Arial" w:ascii="Verdana" w:hAnsi="Verdana"/>
          <w:b w:val="false"/>
          <w:bCs w:val="false"/>
          <w:i w:val="false"/>
          <w:iCs w:val="false"/>
          <w:sz w:val="20"/>
          <w:szCs w:val="20"/>
        </w:rPr>
        <w:t xml:space="preserve">sendo necessária a emissão de autorização de fornecimento </w:t>
      </w:r>
      <w:r>
        <w:rPr>
          <w:rFonts w:eastAsia="Times New Roman" w:cs="Arial" w:ascii="Verdana" w:hAnsi="Verdana"/>
          <w:b w:val="false"/>
          <w:bCs w:val="false"/>
          <w:i w:val="false"/>
          <w:iCs w:val="false"/>
          <w:sz w:val="20"/>
          <w:szCs w:val="20"/>
          <w:lang w:eastAsia="zh-CN"/>
        </w:rPr>
        <w:t xml:space="preserve">dos itens concedendo o prazo de 30 (trinta) dias para a entrega, </w:t>
      </w:r>
      <w:r>
        <w:rPr>
          <w:rFonts w:ascii="Verdana" w:hAnsi="Verdana"/>
          <w:b w:val="false"/>
          <w:bCs w:val="false"/>
          <w:i w:val="false"/>
          <w:iCs w:val="false"/>
          <w:sz w:val="20"/>
          <w:szCs w:val="20"/>
        </w:rPr>
        <w:t>por parte DA CONTRATADA. Sendo sagrado vencedor o fornecedor que apresentar o menor valor por item a ser adquirido.</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5.3</w:t>
      </w:r>
      <w:r>
        <w:rPr>
          <w:rFonts w:ascii="Verdana" w:hAnsi="Verdana"/>
          <w:b w:val="false"/>
          <w:bCs w:val="false"/>
          <w:i w:val="false"/>
          <w:iCs w:val="false"/>
          <w:sz w:val="20"/>
          <w:szCs w:val="20"/>
        </w:rPr>
        <w:t xml:space="preserve">. </w:t>
      </w:r>
      <w:r>
        <w:rPr>
          <w:rFonts w:ascii="Verdana" w:hAnsi="Verdana"/>
          <w:b w:val="false"/>
          <w:bCs w:val="false"/>
          <w:i w:val="false"/>
          <w:iCs w:val="false"/>
          <w:sz w:val="20"/>
          <w:szCs w:val="20"/>
          <w:u w:val="none"/>
        </w:rPr>
        <w:t xml:space="preserve">A empresa detentora da ata registrará o preço por 01 (um) </w:t>
      </w:r>
      <w:r>
        <w:rPr>
          <w:rFonts w:eastAsia="Times New Roman" w:cs="Times New Roman" w:ascii="Verdana" w:hAnsi="Verdana"/>
          <w:b w:val="false"/>
          <w:bCs w:val="false"/>
          <w:i w:val="false"/>
          <w:iCs w:val="false"/>
          <w:sz w:val="20"/>
          <w:szCs w:val="20"/>
          <w:u w:val="none"/>
        </w:rPr>
        <w:t>ano</w:t>
      </w:r>
      <w:r>
        <w:rPr>
          <w:rFonts w:ascii="Verdana" w:hAnsi="Verdana"/>
          <w:b w:val="false"/>
          <w:bCs w:val="false"/>
          <w:i w:val="false"/>
          <w:iCs w:val="false"/>
          <w:sz w:val="20"/>
          <w:szCs w:val="20"/>
        </w:rPr>
        <w:t>, podendo ou não a secretaria requisitar a entrega do material dependendo da demanda.</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5.4</w:t>
      </w:r>
      <w:r>
        <w:rPr>
          <w:rFonts w:cs="Arial" w:ascii="Verdana" w:hAnsi="Verdana"/>
          <w:b/>
          <w:bCs/>
          <w:sz w:val="20"/>
          <w:szCs w:val="20"/>
          <w:shd w:fill="auto" w:val="clear"/>
        </w:rPr>
        <w:t>.</w:t>
      </w:r>
      <w:r>
        <w:rPr>
          <w:rFonts w:cs="Arial" w:ascii="Verdana" w:hAnsi="Verdana"/>
          <w:b w:val="false"/>
          <w:bCs w:val="false"/>
          <w:sz w:val="20"/>
          <w:szCs w:val="20"/>
          <w:shd w:fill="auto" w:val="clear"/>
        </w:rPr>
        <w:t xml:space="preserve"> Não transferir a outrem o objeto estabelecido neste TR, sem prévia e expressa anuência do contratante;</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5.5</w:t>
      </w:r>
      <w:r>
        <w:rPr>
          <w:rFonts w:cs="Arial" w:ascii="Verdana" w:hAnsi="Verdana"/>
          <w:b/>
          <w:bCs/>
          <w:color w:val="000000"/>
          <w:sz w:val="20"/>
          <w:szCs w:val="20"/>
          <w:shd w:fill="auto" w:val="clear"/>
        </w:rPr>
        <w:t xml:space="preserve">. </w:t>
      </w:r>
      <w:r>
        <w:rPr>
          <w:rFonts w:cs="Arial" w:ascii="Verdana" w:hAnsi="Verdana"/>
          <w:b w:val="false"/>
          <w:bCs w:val="false"/>
          <w:color w:val="000000"/>
          <w:sz w:val="20"/>
          <w:szCs w:val="20"/>
          <w:shd w:fill="auto" w:val="clear"/>
        </w:rPr>
        <w:t>Manter, durante o período de vigência do contrato, todas as condições que enseiaram contratação, particularmente no que tange à regularidade fiscal, tributária, trabalhista e qualificação técnica;</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5.6</w:t>
      </w:r>
      <w:r>
        <w:rPr>
          <w:rFonts w:cs="Arial" w:ascii="Verdana" w:hAnsi="Verdana"/>
          <w:b/>
          <w:bCs/>
          <w:sz w:val="20"/>
          <w:szCs w:val="20"/>
          <w:shd w:fill="auto" w:val="clear"/>
        </w:rPr>
        <w:t>.</w:t>
      </w:r>
      <w:r>
        <w:rPr>
          <w:rFonts w:cs="Arial" w:ascii="Verdana" w:hAnsi="Verdana"/>
          <w:b w:val="false"/>
          <w:bCs w:val="false"/>
          <w:sz w:val="20"/>
          <w:szCs w:val="20"/>
          <w:shd w:fill="auto" w:val="clear"/>
        </w:rPr>
        <w:t xml:space="preserve"> Responder por quaisquer danos pessoais ou materiais ocasionados por seus empregados ou prepostos durante o fornecimento do objeto licitado, responder por quaisquer prejuízo que seus empregados ou prepostos causarem ao patrimônio da CONTRATANTE ou terceiros, decorrente de ação ou omissão culposa ou dolosa, procedendo imediatamente aos reparos ou indenizações cabíveis e assumindo o ônus decorrente;</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5.7</w:t>
      </w:r>
      <w:r>
        <w:rPr>
          <w:rFonts w:cs="Arial" w:ascii="Verdana" w:hAnsi="Verdana"/>
          <w:b w:val="false"/>
          <w:bCs w:val="false"/>
          <w:sz w:val="20"/>
          <w:szCs w:val="20"/>
          <w:shd w:fill="auto" w:val="clear"/>
        </w:rPr>
        <w:t>. Substituir no todo ou em parte do objeto deste termo que for entregue fora das especificações e/ou que apresentem defeitos, devendo fazê-lo no prazo determinado pela Secretaria requisitante, sem ônus para o Município de São Gabriel da Palha ES.</w:t>
      </w:r>
    </w:p>
    <w:p>
      <w:pPr>
        <w:pStyle w:val="Normal"/>
        <w:spacing w:lineRule="auto" w:line="276" w:before="57" w:after="57"/>
        <w:ind w:left="0" w:right="0"/>
        <w:jc w:val="both"/>
        <w:rPr>
          <w:rFonts w:ascii="Verdana" w:hAnsi="Verdana"/>
          <w:sz w:val="20"/>
          <w:szCs w:val="20"/>
        </w:rPr>
      </w:pPr>
      <w:r>
        <w:rPr>
          <w:rFonts w:cs="Arial" w:ascii="Verdana" w:hAnsi="Verdana"/>
          <w:b w:val="false"/>
          <w:bCs w:val="false"/>
          <w:sz w:val="20"/>
          <w:szCs w:val="20"/>
          <w:shd w:fill="auto" w:val="clear"/>
        </w:rPr>
        <w:t>5.8. Substituir o produto que quando do seu uso ficar constatado que o mesmo não possui qualidade;</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5.9</w:t>
      </w:r>
      <w:r>
        <w:rPr>
          <w:rFonts w:cs="Arial" w:ascii="Verdana" w:hAnsi="Verdana"/>
          <w:b w:val="false"/>
          <w:bCs w:val="false"/>
          <w:sz w:val="20"/>
          <w:szCs w:val="20"/>
          <w:shd w:fill="auto" w:val="clear"/>
        </w:rPr>
        <w:t>. Incluir nos preços cotados os insumos que o compõem a satisfação do futuro contrato, tais como as despesas com impostos, taxas, frete, embalagens, seguros e quaisquer outros que incidam direta ou indiretamente na aquisição e entrega dos equipamentos cotados, bem como transporte, custos, estocagem até a entrega total do objeto, carga e descarga, testes, embalagens, seguro, leis sociais e tributos;</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5.10</w:t>
      </w:r>
      <w:r>
        <w:rPr>
          <w:rFonts w:cs="Arial" w:ascii="Verdana" w:hAnsi="Verdana"/>
          <w:b w:val="false"/>
          <w:bCs w:val="false"/>
          <w:sz w:val="20"/>
          <w:szCs w:val="20"/>
          <w:shd w:fill="auto" w:val="clear"/>
        </w:rPr>
        <w:t>. Fornecer todos os produtos com garantia de acordo com as exigências do Código de Defesa do Consumidor.</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5.11</w:t>
      </w:r>
      <w:r>
        <w:rPr>
          <w:rFonts w:eastAsia="Calibri" w:cs="Arial" w:ascii="Verdana" w:hAnsi="Verdana"/>
          <w:b w:val="false"/>
          <w:bCs w:val="false"/>
          <w:sz w:val="20"/>
          <w:szCs w:val="20"/>
          <w:highlight w:val="white"/>
          <w:shd w:fill="auto" w:val="clear"/>
        </w:rPr>
        <w:t>. Manter seus dados atualizados perante a Contratada, fazendo comunicar eventuais alterações de representantes, fiscais de contrato, endereços, contatos e demais informações necessárias à execução do contrato.</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5.12</w:t>
      </w:r>
      <w:r>
        <w:rPr>
          <w:rFonts w:cs="Arial" w:ascii="Verdana" w:hAnsi="Verdana"/>
          <w:b w:val="false"/>
          <w:bCs w:val="false"/>
          <w:i w:val="false"/>
          <w:iCs w:val="false"/>
          <w:color w:val="000000"/>
          <w:sz w:val="20"/>
          <w:szCs w:val="20"/>
        </w:rPr>
        <w:t xml:space="preserve">. Não haverá exigência da garantia da </w:t>
      </w:r>
      <w:r>
        <w:rPr>
          <w:rFonts w:eastAsia="Times New Roman" w:cs="Arial" w:ascii="Verdana" w:hAnsi="Verdana"/>
          <w:b w:val="false"/>
          <w:bCs w:val="false"/>
          <w:i w:val="false"/>
          <w:iCs w:val="false"/>
          <w:color w:val="000000"/>
          <w:sz w:val="20"/>
          <w:szCs w:val="20"/>
        </w:rPr>
        <w:t>aquisição</w:t>
      </w:r>
      <w:r>
        <w:rPr>
          <w:rFonts w:cs="Arial" w:ascii="Verdana" w:hAnsi="Verdana"/>
          <w:b w:val="false"/>
          <w:bCs w:val="false"/>
          <w:i w:val="false"/>
          <w:iCs w:val="false"/>
          <w:color w:val="000000"/>
          <w:sz w:val="20"/>
          <w:szCs w:val="20"/>
        </w:rPr>
        <w:t xml:space="preserve"> dos arts. 96 e seguintes da Lei nº 14.133/21.</w:t>
      </w:r>
    </w:p>
    <w:p>
      <w:pPr>
        <w:pStyle w:val="ListParagraph"/>
        <w:spacing w:lineRule="auto" w:line="276" w:before="57" w:after="57"/>
        <w:ind w:hanging="0" w:left="0" w:right="0"/>
        <w:contextualSpacing w:val="false"/>
        <w:jc w:val="both"/>
        <w:rPr>
          <w:rFonts w:ascii="Verdana" w:hAnsi="Verdana" w:cs="Arial"/>
          <w:b/>
          <w:sz w:val="20"/>
          <w:szCs w:val="20"/>
          <w:u w:val="single"/>
        </w:rPr>
      </w:pPr>
      <w:r>
        <w:rPr>
          <w:rFonts w:cs="Arial" w:ascii="Verdana" w:hAnsi="Verdana"/>
          <w:b/>
          <w:sz w:val="20"/>
          <w:szCs w:val="20"/>
          <w:u w:val="single"/>
        </w:rPr>
      </w:r>
    </w:p>
    <w:p>
      <w:pPr>
        <w:pStyle w:val="Nivel1"/>
        <w:suppressAutoHyphens w:val="true"/>
        <w:spacing w:lineRule="auto" w:line="276" w:before="57" w:after="57"/>
        <w:ind w:hanging="0" w:left="0" w:right="0"/>
        <w:rPr>
          <w:rFonts w:ascii="Verdana" w:hAnsi="Verdana"/>
          <w:sz w:val="20"/>
          <w:szCs w:val="20"/>
        </w:rPr>
      </w:pPr>
      <w:r>
        <w:rPr>
          <w:rFonts w:ascii="Verdana" w:hAnsi="Verdana"/>
          <w:i w:val="false"/>
          <w:iCs w:val="false"/>
          <w:sz w:val="20"/>
          <w:szCs w:val="20"/>
        </w:rPr>
        <w:t>6. ENTREGA E CRITÉRIOS DE ACEITAÇÃO DO OBJETO.</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6.1</w:t>
      </w:r>
      <w:r>
        <w:rPr>
          <w:rFonts w:cs="Arial" w:ascii="Verdana" w:hAnsi="Verdana"/>
          <w:b/>
          <w:sz w:val="20"/>
          <w:szCs w:val="20"/>
        </w:rPr>
        <w:t>.</w:t>
      </w:r>
      <w:r>
        <w:rPr>
          <w:rFonts w:cs="Arial" w:ascii="Verdana" w:hAnsi="Verdana"/>
          <w:sz w:val="20"/>
          <w:szCs w:val="20"/>
        </w:rPr>
        <w:t xml:space="preserve"> As impressoras deverão ser entregues no Almoxarifado da Atenção Básica com localizaçã</w:t>
      </w:r>
      <w:r>
        <w:rPr>
          <w:rFonts w:cs="Arial" w:ascii="Verdana" w:hAnsi="Verdana"/>
          <w:sz w:val="20"/>
          <w:szCs w:val="20"/>
          <w:lang w:val="pt-BR"/>
        </w:rPr>
        <w:t>o na sede do Município</w:t>
      </w:r>
      <w:r>
        <w:rPr>
          <w:rFonts w:cs="Arial" w:ascii="Verdana" w:hAnsi="Verdana"/>
          <w:sz w:val="20"/>
          <w:szCs w:val="20"/>
        </w:rPr>
        <w:t>, de segunda a quinta feira das 07</w:t>
      </w:r>
      <w:r>
        <w:rPr>
          <w:rFonts w:cs="Arial" w:ascii="Verdana" w:hAnsi="Verdana"/>
          <w:sz w:val="20"/>
          <w:szCs w:val="20"/>
          <w:lang w:val="pt-BR"/>
        </w:rPr>
        <w:t xml:space="preserve"> h</w:t>
      </w:r>
      <w:r>
        <w:rPr>
          <w:rFonts w:cs="Arial" w:ascii="Verdana" w:hAnsi="Verdana"/>
          <w:sz w:val="20"/>
          <w:szCs w:val="20"/>
        </w:rPr>
        <w:t xml:space="preserve"> às 16 h, e na sexta feira de 7:00hs da manha até as 13 horas, observando os dias de funcionament</w:t>
      </w:r>
      <w:r>
        <w:rPr>
          <w:rFonts w:cs="Arial" w:ascii="Verdana" w:hAnsi="Verdana"/>
          <w:sz w:val="20"/>
          <w:szCs w:val="20"/>
          <w:lang w:val="pt-BR"/>
        </w:rPr>
        <w:t xml:space="preserve">o, </w:t>
      </w:r>
      <w:r>
        <w:rPr>
          <w:rFonts w:cs="Arial" w:ascii="Verdana" w:hAnsi="Verdana"/>
          <w:sz w:val="20"/>
          <w:szCs w:val="20"/>
        </w:rPr>
        <w:t xml:space="preserve">junto a a Nota Fiscal, pelo prazo de 30 (trinta) </w:t>
      </w:r>
      <w:r>
        <w:rPr>
          <w:rFonts w:cs="Arial" w:ascii="Verdana" w:hAnsi="Verdana"/>
          <w:b/>
          <w:bCs/>
          <w:sz w:val="20"/>
          <w:szCs w:val="20"/>
        </w:rPr>
        <w:t xml:space="preserve">dias </w:t>
      </w:r>
      <w:r>
        <w:rPr>
          <w:rFonts w:cs="Arial" w:ascii="Verdana" w:hAnsi="Verdana"/>
          <w:sz w:val="20"/>
          <w:szCs w:val="20"/>
        </w:rPr>
        <w:t xml:space="preserve">a contar do recebimento da Autorização de Fornecimento, emitida pelo Departamento </w:t>
      </w:r>
      <w:r>
        <w:rPr>
          <w:rFonts w:cs="Arial" w:ascii="Verdana" w:hAnsi="Verdana"/>
          <w:sz w:val="20"/>
          <w:szCs w:val="20"/>
          <w:lang w:val="pt-BR"/>
        </w:rPr>
        <w:t>de Compras da Secretaria Municipal de Saúde.</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6.2</w:t>
      </w:r>
      <w:r>
        <w:rPr>
          <w:rFonts w:cs="Arial" w:ascii="Verdana" w:hAnsi="Verdana"/>
          <w:b/>
          <w:sz w:val="20"/>
          <w:szCs w:val="20"/>
        </w:rPr>
        <w:t>.</w:t>
      </w:r>
      <w:r>
        <w:rPr>
          <w:rFonts w:cs="Arial" w:ascii="Verdana" w:hAnsi="Verdana"/>
          <w:sz w:val="20"/>
          <w:szCs w:val="20"/>
        </w:rPr>
        <w:t xml:space="preserve"> A entrega deverá ocorrer sem qualquer ônus adicional, bem como a descarga e todas as demais despesas provenientes da mesma, previamente agendada com a Secretaria Municipal de Saúde.</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6.3</w:t>
      </w:r>
      <w:r>
        <w:rPr>
          <w:rFonts w:cs="Arial" w:ascii="Verdana" w:hAnsi="Verdana"/>
          <w:b/>
          <w:sz w:val="20"/>
          <w:szCs w:val="20"/>
        </w:rPr>
        <w:t>.</w:t>
      </w:r>
      <w:r>
        <w:rPr>
          <w:rFonts w:cs="Arial" w:ascii="Verdana" w:hAnsi="Verdana"/>
          <w:sz w:val="20"/>
          <w:szCs w:val="20"/>
        </w:rPr>
        <w:t xml:space="preserve"> A CONTRATADA garantirá a qualidade do produto obrigando-se a repor aquele que apresentar defeito ou for entregue em desacordo com o apresentado na proposta; </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6.4</w:t>
      </w:r>
      <w:r>
        <w:rPr>
          <w:rFonts w:cs="Arial" w:ascii="Verdana" w:hAnsi="Verdana"/>
          <w:b/>
          <w:sz w:val="20"/>
          <w:szCs w:val="20"/>
          <w:lang w:val="pt-BR"/>
        </w:rPr>
        <w:t>.</w:t>
      </w:r>
      <w:r>
        <w:rPr>
          <w:rFonts w:cs="Arial" w:ascii="Verdana" w:hAnsi="Verdana"/>
          <w:sz w:val="20"/>
          <w:szCs w:val="20"/>
        </w:rPr>
        <w:t xml:space="preserve"> O recebimento </w:t>
      </w:r>
      <w:r>
        <w:rPr>
          <w:rFonts w:cs="Arial" w:ascii="Verdana" w:hAnsi="Verdana"/>
          <w:b/>
          <w:sz w:val="20"/>
          <w:szCs w:val="20"/>
        </w:rPr>
        <w:t>provisório</w:t>
      </w:r>
      <w:r>
        <w:rPr>
          <w:rFonts w:cs="Arial" w:ascii="Verdana" w:hAnsi="Verdana"/>
          <w:sz w:val="20"/>
          <w:szCs w:val="20"/>
        </w:rPr>
        <w:t xml:space="preserve"> do equipamento entregue dar-se-á pela conferência com a descrição constante da ordem de fornecimento;</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6.5</w:t>
      </w:r>
      <w:r>
        <w:rPr>
          <w:rFonts w:cs="Arial" w:ascii="Verdana" w:hAnsi="Verdana"/>
          <w:b/>
          <w:sz w:val="20"/>
          <w:szCs w:val="20"/>
          <w:lang w:val="pt-BR"/>
        </w:rPr>
        <w:t>.</w:t>
      </w:r>
      <w:r>
        <w:rPr>
          <w:rFonts w:cs="Arial" w:ascii="Verdana" w:hAnsi="Verdana"/>
          <w:sz w:val="20"/>
          <w:szCs w:val="20"/>
        </w:rPr>
        <w:t xml:space="preserve"> O recebimento </w:t>
      </w:r>
      <w:r>
        <w:rPr>
          <w:rFonts w:cs="Arial" w:ascii="Verdana" w:hAnsi="Verdana"/>
          <w:b/>
          <w:sz w:val="20"/>
          <w:szCs w:val="20"/>
        </w:rPr>
        <w:t>definitivo</w:t>
      </w:r>
      <w:r>
        <w:rPr>
          <w:rFonts w:cs="Arial" w:ascii="Verdana" w:hAnsi="Verdana"/>
          <w:sz w:val="20"/>
          <w:szCs w:val="20"/>
        </w:rPr>
        <w:t xml:space="preserve"> ocorrerá com a verificação integral das características do produto fornecido pela CONTRATADA;</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6.6</w:t>
      </w:r>
      <w:r>
        <w:rPr>
          <w:rFonts w:cs="Arial" w:ascii="Verdana" w:hAnsi="Verdana"/>
          <w:b/>
          <w:sz w:val="20"/>
          <w:szCs w:val="20"/>
          <w:lang w:val="pt-BR"/>
        </w:rPr>
        <w:t>.</w:t>
      </w:r>
      <w:r>
        <w:rPr>
          <w:rFonts w:cs="Arial" w:ascii="Verdana" w:hAnsi="Verdana"/>
          <w:sz w:val="20"/>
          <w:szCs w:val="20"/>
        </w:rPr>
        <w:t xml:space="preserve"> O recebimento definitivo não isenta a CONTRATADA de responsabilidades futuras quanto à qualidade dos fornecimentos e serviços prestados.</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6.7</w:t>
      </w:r>
      <w:r>
        <w:rPr>
          <w:rFonts w:cs="Arial" w:ascii="Verdana" w:hAnsi="Verdana"/>
          <w:b/>
          <w:sz w:val="20"/>
          <w:szCs w:val="20"/>
          <w:lang w:val="pt-BR"/>
        </w:rPr>
        <w:t>.</w:t>
      </w:r>
      <w:r>
        <w:rPr>
          <w:rFonts w:cs="Arial" w:ascii="Verdana" w:hAnsi="Verdana"/>
          <w:sz w:val="20"/>
          <w:szCs w:val="20"/>
        </w:rPr>
        <w:t xml:space="preserve"> O recebimento provisório do equipamento não implica aceitação dos mesmos;</w:t>
      </w:r>
    </w:p>
    <w:p>
      <w:pPr>
        <w:pStyle w:val="PargrafodaLista"/>
        <w:widowControl w:val="false"/>
        <w:tabs>
          <w:tab w:val="clear" w:pos="708"/>
          <w:tab w:val="left" w:pos="-2410" w:leader="none"/>
          <w:tab w:val="left" w:pos="567" w:leader="none"/>
        </w:tabs>
        <w:suppressAutoHyphens w:val="true"/>
        <w:bidi w:val="0"/>
        <w:spacing w:before="57" w:after="57"/>
        <w:ind w:hanging="0" w:left="0" w:right="0"/>
        <w:contextualSpacing w:val="false"/>
        <w:jc w:val="both"/>
        <w:rPr/>
      </w:pPr>
      <w:r>
        <w:rPr>
          <w:rFonts w:cs="Arial" w:ascii="Verdana" w:hAnsi="Verdana"/>
          <w:b w:val="false"/>
          <w:bCs w:val="false"/>
          <w:color w:val="000000"/>
          <w:kern w:val="0"/>
          <w:sz w:val="20"/>
          <w:szCs w:val="20"/>
          <w:shd w:fill="auto" w:val="clear"/>
          <w:lang w:val="pt-BR" w:eastAsia="pt-BR" w:bidi="ar-SA"/>
        </w:rPr>
        <w:t>6.8</w:t>
      </w:r>
      <w:r>
        <w:rPr>
          <w:rFonts w:cs="Arial" w:ascii="Verdana" w:hAnsi="Verdana"/>
          <w:b/>
          <w:bCs w:val="false"/>
          <w:i w:val="false"/>
          <w:iCs w:val="false"/>
          <w:color w:val="000000"/>
          <w:sz w:val="20"/>
          <w:szCs w:val="20"/>
          <w:lang w:val="pt-BR"/>
        </w:rPr>
        <w:t xml:space="preserve">. </w:t>
      </w:r>
      <w:r>
        <w:rPr>
          <w:rFonts w:cs="Arial" w:ascii="Verdana" w:hAnsi="Verdana"/>
          <w:b w:val="false"/>
          <w:bCs w:val="false"/>
          <w:i w:val="false"/>
          <w:iCs w:val="false"/>
          <w:color w:val="000000"/>
          <w:sz w:val="20"/>
          <w:szCs w:val="20"/>
        </w:rPr>
        <w:t>Havendo erro na Nota Fiscal ou outra circunstância impeditiva, o recebimento definitivo será suspenso, até que a empresa tome as medidas saneadoras necessárias;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6.9.</w:t>
      </w:r>
      <w:r>
        <w:rPr>
          <w:rFonts w:cs="Arial" w:ascii="Verdana" w:hAnsi="Verdana"/>
          <w:b w:val="false"/>
          <w:bCs w:val="false"/>
          <w:i w:val="false"/>
          <w:iCs w:val="false"/>
          <w:color w:val="000000"/>
          <w:sz w:val="20"/>
          <w:szCs w:val="20"/>
          <w:shd w:fill="auto" w:val="clear"/>
        </w:rPr>
        <w:t xml:space="preserve"> Todo material solicitado deve vir devidamente identificados contendo: Garantia do produto, nome empresa Fabricante do produto.</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CONTATO</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27 9 9740 8895</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Email: </w:t>
      </w:r>
      <w:r>
        <w:rPr>
          <w:rFonts w:cs="Arial" w:ascii="Verdana" w:hAnsi="Verdana"/>
          <w:b w:val="false"/>
          <w:bCs w:val="false"/>
          <w:sz w:val="20"/>
          <w:szCs w:val="20"/>
          <w:lang w:val="pt-BR"/>
        </w:rPr>
        <w:t>setorcomprassgp</w:t>
      </w:r>
      <w:r>
        <w:rPr>
          <w:rFonts w:cs="Arial" w:ascii="Verdana" w:hAnsi="Verdana"/>
          <w:sz w:val="20"/>
          <w:szCs w:val="20"/>
        </w:rPr>
        <w:t>@gmail.com</w:t>
      </w:r>
    </w:p>
    <w:p>
      <w:pPr>
        <w:pStyle w:val="Normal"/>
        <w:spacing w:lineRule="auto" w:line="276" w:before="57" w:after="57"/>
        <w:ind w:hanging="0" w:left="0" w:right="0"/>
        <w:jc w:val="both"/>
        <w:rPr>
          <w:rFonts w:ascii="Verdana" w:hAnsi="Verdana"/>
          <w:sz w:val="20"/>
          <w:szCs w:val="20"/>
        </w:rPr>
      </w:pPr>
      <w:r>
        <w:rPr>
          <w:rFonts w:cs="Arial" w:ascii="Verdana" w:hAnsi="Verdana"/>
          <w:b/>
          <w:bCs w:val="false"/>
          <w:i w:val="false"/>
          <w:iCs w:val="false"/>
          <w:color w:val="000000"/>
          <w:sz w:val="20"/>
          <w:szCs w:val="20"/>
        </w:rPr>
        <w:t xml:space="preserve">Responsável: </w:t>
      </w:r>
      <w:r>
        <w:rPr>
          <w:rFonts w:cs="Arial" w:ascii="Verdana" w:hAnsi="Verdana"/>
          <w:b w:val="false"/>
          <w:bCs w:val="false"/>
          <w:i w:val="false"/>
          <w:iCs w:val="false"/>
          <w:color w:val="000000"/>
          <w:sz w:val="20"/>
          <w:szCs w:val="20"/>
        </w:rPr>
        <w:t>Secretaria Municipal de Saúde</w:t>
      </w:r>
    </w:p>
    <w:p>
      <w:pPr>
        <w:pStyle w:val="Normal"/>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both"/>
        <w:rPr>
          <w:rFonts w:ascii="Verdana" w:hAnsi="Verdana"/>
          <w:sz w:val="20"/>
          <w:szCs w:val="20"/>
        </w:rPr>
      </w:pPr>
      <w:r>
        <w:rPr>
          <w:rFonts w:cs="Arial" w:ascii="Verdana" w:hAnsi="Verdana"/>
          <w:b/>
          <w:bCs/>
          <w:i w:val="false"/>
          <w:iCs w:val="false"/>
          <w:color w:val="000000"/>
          <w:sz w:val="20"/>
          <w:szCs w:val="20"/>
        </w:rPr>
        <w:t>7. OBRIGAÇÕES DA CONTRATANTE</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7.1.</w:t>
      </w:r>
      <w:r>
        <w:rPr>
          <w:rFonts w:cs="Arial" w:ascii="Verdana" w:hAnsi="Verdana"/>
          <w:b w:val="false"/>
          <w:bCs w:val="false"/>
          <w:i w:val="false"/>
          <w:iCs w:val="false"/>
          <w:color w:val="000000"/>
          <w:sz w:val="20"/>
          <w:szCs w:val="20"/>
        </w:rPr>
        <w:t xml:space="preserve"> Receber os equipamentos no prazo e condições estabelecidas neste Termo de Referência e seus anexos.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 xml:space="preserve">7.2. </w:t>
      </w:r>
      <w:bookmarkStart w:id="4" w:name="page68R_mcid7"/>
      <w:r>
        <w:rPr>
          <w:rFonts w:cs="Arial" w:ascii="Verdana" w:hAnsi="Verdana"/>
          <w:b w:val="false"/>
          <w:bCs w:val="false"/>
          <w:i w:val="false"/>
          <w:iCs w:val="false"/>
          <w:color w:val="000000"/>
          <w:sz w:val="20"/>
          <w:szCs w:val="20"/>
        </w:rPr>
        <w:t>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7.3. Comunicar à Contratada, por escrito, sobre imperfeições, falhas ou irregularidades verificadas no objeto fornecido, para que seja substituído, reparado ou corrigido.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 xml:space="preserve">7.4. Acompanhar e fiscalizar o cumprimento das obrigações da Contratada, através </w:t>
      </w:r>
      <w:r>
        <w:rPr>
          <w:rFonts w:cs="Arial" w:ascii="Verdana" w:hAnsi="Verdana"/>
          <w:b w:val="false"/>
          <w:bCs w:val="false"/>
          <w:i w:val="false"/>
          <w:iCs w:val="false"/>
          <w:color w:val="000000"/>
          <w:sz w:val="20"/>
          <w:szCs w:val="20"/>
          <w:u w:val="none"/>
        </w:rPr>
        <w:t>do setor responsável.</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7.5. Efetuar o pagamento à Contratada no valor correspondente ao fornecimento das impressoras no prazo e forma estabelecidos neste TR e seus anexos.</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da presente </w:t>
      </w:r>
      <w:r>
        <w:rPr>
          <w:rFonts w:eastAsia="Times New Roman" w:cs="Arial" w:ascii="Verdana" w:hAnsi="Verdana"/>
          <w:b w:val="false"/>
          <w:bCs w:val="false"/>
          <w:i w:val="false"/>
          <w:iCs w:val="false"/>
          <w:color w:val="000000"/>
          <w:sz w:val="20"/>
          <w:szCs w:val="20"/>
        </w:rPr>
        <w:t>Ata de Registro de Preços</w:t>
      </w:r>
      <w:r>
        <w:rPr>
          <w:rFonts w:cs="Arial" w:ascii="Verdana" w:hAnsi="Verdana"/>
          <w:b w:val="false"/>
          <w:bCs w:val="false"/>
          <w:i w:val="false"/>
          <w:iCs w:val="false"/>
          <w:color w:val="000000"/>
          <w:sz w:val="20"/>
          <w:szCs w:val="20"/>
        </w:rPr>
        <w:t>, bem como por qualquer dano causado a terceiros em decorrência de ato da Contratada, de seus empregados, prepostos ou subordinados.</w:t>
      </w:r>
    </w:p>
    <w:p>
      <w:pPr>
        <w:pStyle w:val="Normal"/>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both"/>
        <w:rPr>
          <w:rFonts w:ascii="Verdana" w:hAnsi="Verdana"/>
          <w:sz w:val="20"/>
          <w:szCs w:val="20"/>
        </w:rPr>
      </w:pPr>
      <w:r>
        <w:rPr>
          <w:rFonts w:cs="Arial" w:ascii="Verdana" w:hAnsi="Verdana"/>
          <w:b/>
          <w:bCs/>
          <w:i w:val="false"/>
          <w:iCs w:val="false"/>
          <w:color w:val="000000"/>
          <w:sz w:val="20"/>
          <w:szCs w:val="20"/>
        </w:rPr>
        <w:t>8. OBRIGAÇÕES DA CONTRATADA</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8.1. A Contratada deve cumprir todas as obrigações constantes neste TR, seus anexos e sua proposta, assumindo como exclusivamente seus os riscos e as despesas decorrentes da boa e perfeita execução do objeto.</w:t>
      </w:r>
      <w:bookmarkStart w:id="5" w:name="page68R_mcid171"/>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8.2. Efetuar a entrega das impressoras em perfeitas condições, conforme especificações, prazo e local constantes no Termo de Referência e seus anexos, acompanhado da respectiva nota fiscal, na qual constarão as indicações referentes a: marca, fabricante, modelo e garantia do equipamento.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8.3. Responsabilizar-se pelos vícios e danos decorrentes do objeto, de acordo com os artigos 12, 13 e 17 a 27, do Código de Defesa do Consumidor (Lei nº 8.078, de 1990).</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8.4. Substituir, reparar ou corrigir, às suas expensas, no prazo fixado neste Termo de Referência, o objeto com avarias ou defeitos.</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8.5. </w:t>
      </w:r>
      <w:r>
        <w:rPr>
          <w:rFonts w:cs="Arial" w:ascii="Verdana" w:hAnsi="Verdana"/>
          <w:b w:val="false"/>
          <w:bCs w:val="false"/>
          <w:i w:val="false"/>
          <w:iCs w:val="false"/>
          <w:color w:val="000000"/>
          <w:sz w:val="20"/>
          <w:szCs w:val="20"/>
        </w:rPr>
        <w:t>Comunicar à Contratante, no prazo máximo de 05 (cinco) dias que antecede a data da entrega, os motivos que impossibilitem o cumprimento do prazo previsto, com a devida comprovação.</w:t>
      </w:r>
    </w:p>
    <w:p>
      <w:pPr>
        <w:pStyle w:val="Normal"/>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8.6. </w:t>
      </w:r>
      <w:r>
        <w:rPr>
          <w:rFonts w:cs="Arial" w:ascii="Verdana" w:hAnsi="Verdana"/>
          <w:b w:val="false"/>
          <w:bCs w:val="false"/>
          <w:i w:val="false"/>
          <w:iCs w:val="false"/>
          <w:color w:val="000000"/>
          <w:sz w:val="20"/>
          <w:szCs w:val="20"/>
        </w:rPr>
        <w:t>Manter, durante toda a execução d</w:t>
      </w:r>
      <w:r>
        <w:rPr>
          <w:rFonts w:eastAsia="Times New Roman" w:cs="Arial" w:ascii="Verdana" w:hAnsi="Verdana"/>
          <w:b w:val="false"/>
          <w:bCs w:val="false"/>
          <w:i w:val="false"/>
          <w:iCs w:val="false"/>
          <w:color w:val="000000"/>
          <w:sz w:val="20"/>
          <w:szCs w:val="20"/>
        </w:rPr>
        <w:t>a ata de registro de preços</w:t>
      </w:r>
      <w:r>
        <w:rPr>
          <w:rFonts w:cs="Arial" w:ascii="Verdana" w:hAnsi="Verdana"/>
          <w:b w:val="false"/>
          <w:bCs w:val="false"/>
          <w:i w:val="false"/>
          <w:iCs w:val="false"/>
          <w:color w:val="000000"/>
          <w:sz w:val="20"/>
          <w:szCs w:val="20"/>
        </w:rPr>
        <w:t>, em compatibilidade com as obrigações assumidas, todas as condições de habilitação e qualificação exigidas na licitação.</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8.7. </w:t>
      </w:r>
      <w:r>
        <w:rPr>
          <w:rFonts w:cs="Arial" w:ascii="Verdana" w:hAnsi="Verdana"/>
          <w:b w:val="false"/>
          <w:bCs w:val="false"/>
          <w:i w:val="false"/>
          <w:iCs w:val="false"/>
          <w:color w:val="000000"/>
          <w:sz w:val="20"/>
          <w:szCs w:val="20"/>
        </w:rPr>
        <w:t>Indicar preposto para representá-la durante a execução da ata de registro de preços.</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8.8. </w:t>
      </w:r>
      <w:r>
        <w:rPr>
          <w:rFonts w:cs="Arial" w:ascii="Verdana" w:hAnsi="Verdana"/>
          <w:b w:val="false"/>
          <w:bCs w:val="false"/>
          <w:i w:val="false"/>
          <w:iCs w:val="false"/>
          <w:color w:val="000000"/>
          <w:sz w:val="20"/>
          <w:szCs w:val="20"/>
        </w:rPr>
        <w:t xml:space="preserve">A </w:t>
      </w:r>
      <w:r>
        <w:rPr>
          <w:rFonts w:eastAsia="Times New Roman" w:cs="Arial" w:ascii="Verdana" w:hAnsi="Verdana"/>
          <w:b w:val="false"/>
          <w:bCs w:val="false"/>
          <w:i w:val="false"/>
          <w:iCs w:val="false"/>
          <w:color w:val="000000"/>
          <w:sz w:val="20"/>
          <w:szCs w:val="20"/>
        </w:rPr>
        <w:t>contratada</w:t>
      </w:r>
      <w:r>
        <w:rPr>
          <w:rFonts w:cs="Arial" w:ascii="Verdana" w:hAnsi="Verdana"/>
          <w:b w:val="false"/>
          <w:bCs w:val="false"/>
          <w:i w:val="false"/>
          <w:iCs w:val="false"/>
          <w:color w:val="000000"/>
          <w:sz w:val="20"/>
          <w:szCs w:val="20"/>
        </w:rPr>
        <w:t xml:space="preserve">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 xml:space="preserve">8.9.Durante a execução da ata de registro de preços, a </w:t>
      </w:r>
      <w:r>
        <w:rPr>
          <w:rFonts w:eastAsia="Times New Roman" w:cs="Arial" w:ascii="Verdana" w:hAnsi="Verdana"/>
          <w:b w:val="false"/>
          <w:bCs w:val="false"/>
          <w:i w:val="false"/>
          <w:iCs w:val="false"/>
          <w:color w:val="000000"/>
          <w:sz w:val="20"/>
          <w:szCs w:val="20"/>
        </w:rPr>
        <w:t>contratada</w:t>
      </w:r>
      <w:r>
        <w:rPr>
          <w:rFonts w:cs="Arial" w:ascii="Verdana" w:hAnsi="Verdana"/>
          <w:b w:val="false"/>
          <w:bCs w:val="false"/>
          <w:i w:val="false"/>
          <w:iCs w:val="false"/>
          <w:color w:val="000000"/>
          <w:sz w:val="20"/>
          <w:szCs w:val="20"/>
        </w:rPr>
        <w:t xml:space="preserve"> deverá:</w:t>
      </w:r>
      <w:r>
        <w:rPr>
          <w:rFonts w:ascii="Verdana" w:hAnsi="Verdana"/>
          <w:sz w:val="20"/>
          <w:szCs w:val="20"/>
        </w:rPr>
        <w:br/>
      </w:r>
      <w:r>
        <w:rPr>
          <w:rFonts w:eastAsia="Times New Roman" w:cs="Arial" w:ascii="Verdana" w:hAnsi="Verdana"/>
          <w:b w:val="false"/>
          <w:bCs w:val="false"/>
          <w:i w:val="false"/>
          <w:iCs w:val="false"/>
          <w:color w:val="000000"/>
          <w:sz w:val="20"/>
          <w:szCs w:val="20"/>
        </w:rPr>
        <w:t>8.9.1.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sz w:val="20"/>
          <w:szCs w:val="20"/>
        </w:rPr>
        <w:t xml:space="preserve">da secretaria </w:t>
      </w:r>
      <w:r>
        <w:rPr>
          <w:rFonts w:cs="Arial" w:ascii="Verdana" w:hAnsi="Verdana"/>
          <w:b w:val="false"/>
          <w:bCs w:val="false"/>
          <w:i w:val="false"/>
          <w:iCs w:val="false"/>
          <w:color w:val="000000"/>
          <w:sz w:val="20"/>
          <w:szCs w:val="20"/>
        </w:rPr>
        <w:t xml:space="preserve">no fornecimento </w:t>
      </w:r>
      <w:r>
        <w:rPr>
          <w:rFonts w:eastAsia="Times New Roman" w:cs="Arial" w:ascii="Verdana" w:hAnsi="Verdana"/>
          <w:b w:val="false"/>
          <w:bCs w:val="false"/>
          <w:i w:val="false"/>
          <w:iCs w:val="false"/>
          <w:color w:val="000000"/>
          <w:sz w:val="20"/>
          <w:szCs w:val="20"/>
        </w:rPr>
        <w:t>das impressoras</w:t>
      </w:r>
      <w:r>
        <w:rPr>
          <w:rFonts w:cs="Arial" w:ascii="Verdana" w:hAnsi="Verdana"/>
          <w:b w:val="false"/>
          <w:bCs w:val="false"/>
          <w:i w:val="false"/>
          <w:iCs w:val="false"/>
          <w:color w:val="000000"/>
          <w:sz w:val="20"/>
          <w:szCs w:val="20"/>
        </w:rPr>
        <w:t xml:space="preserve"> nas quantidades e especificações deste </w:t>
      </w:r>
      <w:r>
        <w:rPr>
          <w:rFonts w:eastAsia="Times New Roman" w:cs="Arial" w:ascii="Verdana" w:hAnsi="Verdana"/>
          <w:b w:val="false"/>
          <w:bCs w:val="false"/>
          <w:i w:val="false"/>
          <w:iCs w:val="false"/>
          <w:color w:val="000000"/>
          <w:sz w:val="20"/>
          <w:szCs w:val="20"/>
        </w:rPr>
        <w:t>termo de referência.</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8.9.</w:t>
      </w:r>
      <w:r>
        <w:rPr>
          <w:rFonts w:cs="Arial" w:ascii="Verdana" w:hAnsi="Verdana"/>
          <w:b w:val="false"/>
          <w:bCs w:val="false"/>
          <w:i w:val="false"/>
          <w:iCs w:val="false"/>
          <w:color w:val="000000"/>
          <w:sz w:val="20"/>
          <w:szCs w:val="20"/>
        </w:rPr>
        <w:t>2. Entregar os equipamentos acondicionados adequadamente, em invólucro lacrado, de forma a permitir completa segurança durante o transporte, acompanhado de nota fiscal, discriminado o quantitativo do produto, de acordo com as especificações técnicas.</w:t>
      </w:r>
    </w:p>
    <w:p>
      <w:pPr>
        <w:pStyle w:val="Normal"/>
        <w:tabs>
          <w:tab w:val="clear" w:pos="708"/>
          <w:tab w:val="left" w:pos="0" w:leader="none"/>
        </w:tabs>
        <w:spacing w:lineRule="auto" w:line="276" w:before="57" w:after="57"/>
        <w:ind w:hanging="0" w:left="0" w:right="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8.9.3. </w:t>
      </w:r>
      <w:r>
        <w:rPr>
          <w:rFonts w:cs="Arial" w:ascii="Verdana" w:hAnsi="Verdana"/>
          <w:b w:val="false"/>
          <w:bCs w:val="false"/>
          <w:i w:val="false"/>
          <w:iCs w:val="false"/>
          <w:color w:val="000000"/>
          <w:sz w:val="20"/>
          <w:szCs w:val="20"/>
        </w:rPr>
        <w:t>A nota fiscal deverá ser acompanhada pelas Certidões de Regularidades Fiscais.</w:t>
      </w:r>
      <w:r>
        <w:rPr>
          <w:rFonts w:ascii="Verdana" w:hAnsi="Verdana"/>
          <w:sz w:val="20"/>
          <w:szCs w:val="20"/>
        </w:rPr>
        <w:br/>
      </w:r>
      <w:r>
        <w:rPr>
          <w:rFonts w:eastAsia="Times New Roman" w:cs="Arial" w:ascii="Verdana" w:hAnsi="Verdana"/>
          <w:b w:val="false"/>
          <w:bCs w:val="false"/>
          <w:i w:val="false"/>
          <w:iCs w:val="false"/>
          <w:color w:val="000000"/>
          <w:sz w:val="20"/>
          <w:szCs w:val="20"/>
        </w:rPr>
        <w:t xml:space="preserve">8.9.4. </w:t>
      </w:r>
      <w:bookmarkStart w:id="6" w:name="_GoBack1111"/>
      <w:r>
        <w:rPr>
          <w:rFonts w:cs="Arial" w:ascii="Verdana" w:hAnsi="Verdana"/>
          <w:b w:val="false"/>
          <w:bCs w:val="false"/>
          <w:i w:val="false"/>
          <w:iCs w:val="false"/>
          <w:color w:val="000000"/>
          <w:sz w:val="20"/>
          <w:szCs w:val="20"/>
        </w:rPr>
        <w:t>Substituir quaisquer objeto que não esteja dentro do padrão de qualidade, em bom estado de conservação, que apresente defeito ou não esteja em conformidade com as especificações da proposta apresentada.</w:t>
      </w:r>
    </w:p>
    <w:p>
      <w:pPr>
        <w:pStyle w:val="Normal"/>
        <w:tabs>
          <w:tab w:val="clear" w:pos="708"/>
          <w:tab w:val="left" w:pos="0" w:leader="none"/>
        </w:tabs>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both"/>
        <w:rPr>
          <w:rFonts w:ascii="Verdana" w:hAnsi="Verdana"/>
          <w:sz w:val="20"/>
          <w:szCs w:val="20"/>
        </w:rPr>
      </w:pPr>
      <w:r>
        <w:rPr>
          <w:rFonts w:cs="Arial" w:ascii="Verdana" w:hAnsi="Verdana"/>
          <w:b/>
          <w:bCs/>
          <w:i w:val="false"/>
          <w:iCs w:val="false"/>
          <w:color w:val="000000"/>
          <w:sz w:val="20"/>
          <w:szCs w:val="20"/>
        </w:rPr>
        <w:t>9. DO CONTROLE E FISCALIZAÇÃO DA EXECUÇÃO</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9.1. A fiscalização será realizado pelo Almoxarifado da Secretaria Municipal de Saúde para acompanhar e fiscalizar a entrega dos equipamentos, anotando em registro próprio todas as ocorrências relacionadas com a execução e determinando o que for necessário à regularização de falhas ou defeitos observados.</w:t>
      </w:r>
    </w:p>
    <w:p>
      <w:pPr>
        <w:pStyle w:val="Normal"/>
        <w:spacing w:lineRule="auto" w:line="276" w:before="57" w:after="57"/>
        <w:ind w:hanging="0" w:left="0" w:right="0"/>
        <w:jc w:val="both"/>
        <w:rPr>
          <w:rFonts w:ascii="Verdana" w:hAnsi="Verdana"/>
          <w:sz w:val="20"/>
          <w:szCs w:val="20"/>
        </w:rPr>
      </w:pPr>
      <w:r>
        <w:rPr>
          <w:rFonts w:cs="Arial" w:ascii="Verdana" w:hAnsi="Verdana"/>
          <w:b w:val="false"/>
          <w:bCs w:val="false"/>
          <w:i w:val="false"/>
          <w:iCs w:val="false"/>
          <w:color w:val="000000"/>
          <w:sz w:val="20"/>
          <w:szCs w:val="20"/>
        </w:rPr>
        <w:t>9.2. A fiscalização de que trata este item não exclui nem reduz a responsabilidade da Contratada, inclusive perante terceiros, por qualquer irregularidade, ainda que resultante de imperfeições técnicas ou vícios redibitórios, e na ocorrência desta, não implica responsabilidade da Administração ou de seus agentes e prepostos, de conformidade com a Lei n.º 14.133/2021.</w:t>
      </w:r>
    </w:p>
    <w:p>
      <w:pPr>
        <w:pStyle w:val="Normal"/>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both"/>
        <w:rPr>
          <w:rFonts w:ascii="Verdana" w:hAnsi="Verdana"/>
          <w:sz w:val="20"/>
          <w:szCs w:val="20"/>
        </w:rPr>
      </w:pPr>
      <w:r>
        <w:rPr>
          <w:rFonts w:ascii="Verdana" w:hAnsi="Verdana"/>
          <w:b/>
          <w:bCs/>
          <w:sz w:val="20"/>
          <w:szCs w:val="20"/>
        </w:rPr>
        <w:t>10. CRITÉRIOS DE PAGAMENTO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lang w:eastAsia="en-US"/>
        </w:rPr>
        <w:t>10.1.</w:t>
      </w:r>
      <w:r>
        <w:rPr>
          <w:rFonts w:ascii="Verdana" w:hAnsi="Verdana"/>
          <w:b w:val="false"/>
          <w:bCs w:val="false"/>
          <w:sz w:val="20"/>
          <w:szCs w:val="20"/>
          <w:shd w:fill="auto" w:val="clear"/>
          <w:lang w:eastAsia="en-US"/>
        </w:rPr>
        <w:t xml:space="preserve"> Recebida a Nota Fiscal ou documento de cobrança equivalente, correrá o prazo de </w:t>
      </w:r>
      <w:r>
        <w:rPr>
          <w:rFonts w:eastAsia="Times New Roman" w:cs="Times New Roman" w:ascii="Verdana" w:hAnsi="Verdana"/>
          <w:b w:val="false"/>
          <w:bCs w:val="false"/>
          <w:sz w:val="20"/>
          <w:szCs w:val="20"/>
          <w:shd w:fill="auto" w:val="clear"/>
          <w:lang w:eastAsia="en-US"/>
        </w:rPr>
        <w:t>(30) trinta</w:t>
      </w:r>
      <w:r>
        <w:rPr>
          <w:rFonts w:ascii="Verdana" w:hAnsi="Verdana"/>
          <w:b w:val="false"/>
          <w:bCs w:val="false"/>
          <w:sz w:val="20"/>
          <w:szCs w:val="20"/>
          <w:shd w:fill="auto" w:val="clear"/>
          <w:lang w:eastAsia="en-US"/>
        </w:rPr>
        <w:t xml:space="preserve"> dias úteis para fins de liquidação, na forma desta seção, prorrogáveis por igual período.</w:t>
      </w:r>
    </w:p>
    <w:p>
      <w:pPr>
        <w:pStyle w:val="Normal"/>
        <w:spacing w:lineRule="auto" w:line="276" w:before="57" w:after="57"/>
        <w:ind w:hanging="0" w:left="0" w:right="0"/>
        <w:jc w:val="both"/>
        <w:rPr/>
      </w:pPr>
      <w:r>
        <w:rPr>
          <w:rFonts w:ascii="Verdana" w:hAnsi="Verdana"/>
          <w:b w:val="false"/>
          <w:bCs w:val="false"/>
          <w:sz w:val="20"/>
          <w:szCs w:val="20"/>
        </w:rPr>
        <w:t xml:space="preserve">10.2. O prazo de que trata o item anterior será reduzido à metade, mantendo-se a possibilidade de prorrogação, no caso de contratações decorrentes de despesas cujos valores não ultrapassem o limite de que trata o </w:t>
      </w:r>
      <w:r>
        <w:fldChar w:fldCharType="begin"/>
      </w:r>
      <w:r>
        <w:rPr>
          <w:rStyle w:val="ListLabel19"/>
          <w:sz w:val="20"/>
          <w:u w:val="none"/>
          <w:b w:val="false"/>
          <w:szCs w:val="20"/>
          <w:bCs w:val="false"/>
          <w:rFonts w:ascii="Verdana" w:hAnsi="Verdana"/>
          <w:color w:val="000000"/>
        </w:rPr>
        <w:instrText xml:space="preserve"> HYPERLINK "http://www.planalto.gov.br/ccivil_03/_ato2019-2022/2021/lei/L14133.htm" \l "art75"</w:instrText>
      </w:r>
      <w:r>
        <w:rPr>
          <w:rStyle w:val="ListLabel19"/>
          <w:sz w:val="20"/>
          <w:u w:val="none"/>
          <w:b w:val="false"/>
          <w:szCs w:val="20"/>
          <w:bCs w:val="false"/>
          <w:rFonts w:ascii="Verdana" w:hAnsi="Verdana"/>
          <w:color w:val="000000"/>
        </w:rPr>
        <w:fldChar w:fldCharType="separate"/>
      </w:r>
      <w:r>
        <w:rPr>
          <w:rStyle w:val="ListLabel19"/>
          <w:rFonts w:ascii="Verdana" w:hAnsi="Verdana"/>
          <w:b w:val="false"/>
          <w:bCs w:val="false"/>
          <w:color w:val="000000"/>
          <w:sz w:val="20"/>
          <w:szCs w:val="20"/>
          <w:u w:val="none"/>
        </w:rPr>
        <w:t>inciso II do art. 75 da Lei nº 14.133, de 2021</w:t>
      </w:r>
      <w:r>
        <w:rPr>
          <w:rStyle w:val="ListLabel19"/>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76" w:before="57" w:after="57"/>
        <w:ind w:hanging="0" w:left="0" w:right="0"/>
        <w:jc w:val="both"/>
        <w:rPr>
          <w:rFonts w:ascii="Verdana" w:hAnsi="Verdana"/>
          <w:sz w:val="20"/>
          <w:szCs w:val="20"/>
        </w:rPr>
      </w:pPr>
      <w:r>
        <w:rPr>
          <w:rFonts w:ascii="Verdana" w:hAnsi="Verdana"/>
          <w:b w:val="false"/>
          <w:bCs w:val="false"/>
          <w:sz w:val="20"/>
          <w:szCs w:val="20"/>
        </w:rPr>
        <w:t xml:space="preserve">10.3. Para fins de liquidação, o setor competente deverá verificar se a nota fiscal ou instrumento de cobrança equivalente apresentado expressa os elementos necessários e essenciais do documento, tais como: </w:t>
      </w:r>
    </w:p>
    <w:p>
      <w:pPr>
        <w:pStyle w:val="Normal"/>
        <w:numPr>
          <w:ilvl w:val="0"/>
          <w:numId w:val="1"/>
        </w:numPr>
        <w:tabs>
          <w:tab w:val="clear" w:pos="708"/>
          <w:tab w:val="left" w:pos="563" w:leader="none"/>
        </w:tabs>
        <w:spacing w:lineRule="auto" w:line="276" w:before="57" w:after="57"/>
        <w:jc w:val="both"/>
        <w:rPr>
          <w:rFonts w:ascii="Verdana" w:hAnsi="Verdana"/>
          <w:sz w:val="20"/>
          <w:szCs w:val="20"/>
        </w:rPr>
      </w:pPr>
      <w:r>
        <w:rPr>
          <w:rFonts w:ascii="Verdana" w:hAnsi="Verdana"/>
          <w:b w:val="false"/>
          <w:bCs w:val="false"/>
          <w:sz w:val="20"/>
          <w:szCs w:val="20"/>
        </w:rPr>
        <w:t>O prazo de validade;</w:t>
      </w:r>
    </w:p>
    <w:p>
      <w:pPr>
        <w:pStyle w:val="Normal"/>
        <w:numPr>
          <w:ilvl w:val="0"/>
          <w:numId w:val="1"/>
        </w:numPr>
        <w:tabs>
          <w:tab w:val="clear" w:pos="708"/>
          <w:tab w:val="left" w:pos="563" w:leader="none"/>
        </w:tabs>
        <w:spacing w:lineRule="auto" w:line="276" w:before="57" w:after="57"/>
        <w:jc w:val="both"/>
        <w:rPr>
          <w:rFonts w:ascii="Verdana" w:hAnsi="Verdana"/>
          <w:sz w:val="20"/>
          <w:szCs w:val="20"/>
        </w:rPr>
      </w:pPr>
      <w:r>
        <w:rPr>
          <w:rFonts w:ascii="Verdana" w:hAnsi="Verdana"/>
          <w:b w:val="false"/>
          <w:bCs w:val="false"/>
          <w:sz w:val="20"/>
          <w:szCs w:val="20"/>
        </w:rPr>
        <w:t xml:space="preserve">A data da emissão; </w:t>
      </w:r>
    </w:p>
    <w:p>
      <w:pPr>
        <w:pStyle w:val="Normal"/>
        <w:numPr>
          <w:ilvl w:val="0"/>
          <w:numId w:val="1"/>
        </w:numPr>
        <w:tabs>
          <w:tab w:val="clear" w:pos="708"/>
          <w:tab w:val="left" w:pos="563" w:leader="none"/>
        </w:tabs>
        <w:spacing w:lineRule="auto" w:line="276" w:before="57" w:after="57"/>
        <w:jc w:val="both"/>
        <w:rPr>
          <w:rFonts w:ascii="Verdana" w:hAnsi="Verdana"/>
          <w:sz w:val="20"/>
          <w:szCs w:val="20"/>
        </w:rPr>
      </w:pPr>
      <w:r>
        <w:rPr>
          <w:rFonts w:ascii="Verdana" w:hAnsi="Verdana"/>
          <w:b w:val="false"/>
          <w:bCs w:val="false"/>
          <w:sz w:val="20"/>
          <w:szCs w:val="20"/>
        </w:rPr>
        <w:t xml:space="preserve">Os dados do contrato e do órgão contratante; </w:t>
      </w:r>
    </w:p>
    <w:p>
      <w:pPr>
        <w:pStyle w:val="Normal"/>
        <w:numPr>
          <w:ilvl w:val="0"/>
          <w:numId w:val="1"/>
        </w:numPr>
        <w:tabs>
          <w:tab w:val="clear" w:pos="708"/>
          <w:tab w:val="left" w:pos="563" w:leader="none"/>
        </w:tabs>
        <w:spacing w:lineRule="auto" w:line="276" w:before="57" w:after="57"/>
        <w:jc w:val="both"/>
        <w:rPr>
          <w:rFonts w:ascii="Verdana" w:hAnsi="Verdana"/>
          <w:sz w:val="20"/>
          <w:szCs w:val="20"/>
        </w:rPr>
      </w:pPr>
      <w:r>
        <w:rPr>
          <w:rFonts w:ascii="Verdana" w:hAnsi="Verdana"/>
          <w:b w:val="false"/>
          <w:bCs w:val="false"/>
          <w:sz w:val="20"/>
          <w:szCs w:val="20"/>
        </w:rPr>
        <w:t xml:space="preserve">O período respectivo de execução do contrato; </w:t>
      </w:r>
    </w:p>
    <w:p>
      <w:pPr>
        <w:pStyle w:val="Normal"/>
        <w:numPr>
          <w:ilvl w:val="0"/>
          <w:numId w:val="1"/>
        </w:numPr>
        <w:tabs>
          <w:tab w:val="clear" w:pos="708"/>
          <w:tab w:val="left" w:pos="563" w:leader="none"/>
        </w:tabs>
        <w:spacing w:lineRule="auto" w:line="276" w:before="57" w:after="57"/>
        <w:jc w:val="both"/>
        <w:rPr>
          <w:rFonts w:ascii="Verdana" w:hAnsi="Verdana"/>
          <w:sz w:val="20"/>
          <w:szCs w:val="20"/>
        </w:rPr>
      </w:pPr>
      <w:r>
        <w:rPr>
          <w:rFonts w:ascii="Verdana" w:hAnsi="Verdana"/>
          <w:b w:val="false"/>
          <w:bCs w:val="false"/>
          <w:sz w:val="20"/>
          <w:szCs w:val="20"/>
        </w:rPr>
        <w:t xml:space="preserve">O valor a pagar; e </w:t>
      </w:r>
    </w:p>
    <w:p>
      <w:pPr>
        <w:pStyle w:val="Normal"/>
        <w:numPr>
          <w:ilvl w:val="0"/>
          <w:numId w:val="1"/>
        </w:numPr>
        <w:tabs>
          <w:tab w:val="clear" w:pos="708"/>
          <w:tab w:val="left" w:pos="563" w:leader="none"/>
        </w:tabs>
        <w:spacing w:lineRule="auto" w:line="276" w:before="57" w:after="57"/>
        <w:jc w:val="both"/>
        <w:rPr>
          <w:rFonts w:ascii="Verdana" w:hAnsi="Verdana"/>
          <w:sz w:val="20"/>
          <w:szCs w:val="20"/>
        </w:rPr>
      </w:pPr>
      <w:r>
        <w:rPr>
          <w:rFonts w:ascii="Verdana" w:hAnsi="Verdana"/>
          <w:b w:val="false"/>
          <w:bCs w:val="false"/>
          <w:sz w:val="20"/>
          <w:szCs w:val="20"/>
        </w:rPr>
        <w:t>Eventual destaque do valor de retenções tributárias cabíveis.</w:t>
      </w:r>
    </w:p>
    <w:p>
      <w:pPr>
        <w:pStyle w:val="Normal"/>
        <w:tabs>
          <w:tab w:val="clear" w:pos="708"/>
          <w:tab w:val="left" w:pos="625" w:leader="none"/>
        </w:tabs>
        <w:spacing w:lineRule="auto" w:line="276" w:before="57" w:after="57"/>
        <w:ind w:hanging="0" w:left="0" w:right="0"/>
        <w:jc w:val="both"/>
        <w:rPr>
          <w:rFonts w:ascii="Verdana" w:hAnsi="Verdana"/>
          <w:sz w:val="20"/>
          <w:szCs w:val="20"/>
        </w:rPr>
      </w:pPr>
      <w:r>
        <w:rPr>
          <w:rFonts w:ascii="Verdana" w:hAnsi="Verdana"/>
          <w:b w:val="false"/>
          <w:bCs w:val="false"/>
          <w:sz w:val="20"/>
          <w:szCs w:val="20"/>
        </w:rPr>
        <w:t>10.4. Haven</w:t>
      </w:r>
      <w:r>
        <w:rPr>
          <w:rFonts w:ascii="Verdana" w:hAnsi="Verdana"/>
          <w:sz w:val="20"/>
          <w:szCs w:val="20"/>
        </w:rPr>
        <w:t>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76" w:before="57" w:after="57"/>
        <w:ind w:hanging="0" w:left="0" w:right="0"/>
        <w:jc w:val="both"/>
        <w:rPr/>
      </w:pPr>
      <w:r>
        <w:rPr>
          <w:rFonts w:ascii="Verdana" w:hAnsi="Verdana"/>
          <w:b w:val="false"/>
          <w:bCs w:val="false"/>
          <w:sz w:val="20"/>
          <w:szCs w:val="20"/>
        </w:rPr>
        <w:t>10.5. A</w:t>
      </w:r>
      <w:r>
        <w:rPr>
          <w:rFonts w:ascii="Verdana" w:hAnsi="Verdana"/>
          <w:b w:val="false"/>
          <w:bCs w:val="false"/>
          <w:sz w:val="20"/>
          <w:szCs w:val="20"/>
          <w:lang w:eastAsia="en-US"/>
        </w:rPr>
        <w:t xml:space="preserve"> nota fisc</w:t>
      </w:r>
      <w:r>
        <w:rPr>
          <w:rFonts w:ascii="Verdana" w:hAnsi="Verdana"/>
          <w:sz w:val="20"/>
          <w:szCs w:val="20"/>
          <w:lang w:eastAsia="en-US"/>
        </w:rPr>
        <w:t>al ou instrumento de cobrança equivalente deverá ser obrigatoriamente acompanhado da comprovação da regularidade fiscal</w:t>
      </w:r>
      <w:r>
        <w:rPr>
          <w:rStyle w:val="InternetLink"/>
          <w:rFonts w:ascii="Verdana" w:hAnsi="Verdana"/>
          <w:sz w:val="20"/>
          <w:szCs w:val="20"/>
          <w:lang w:eastAsia="en-US"/>
        </w:rPr>
        <w:t>.</w:t>
      </w:r>
    </w:p>
    <w:p>
      <w:pPr>
        <w:pStyle w:val="Normal"/>
        <w:spacing w:lineRule="auto" w:line="276" w:before="57" w:after="57"/>
        <w:ind w:hanging="0" w:left="0" w:right="0"/>
        <w:jc w:val="both"/>
        <w:rPr>
          <w:rFonts w:ascii="Verdana" w:hAnsi="Verdana"/>
          <w:b w:val="false"/>
          <w:bCs w:val="false"/>
          <w:sz w:val="20"/>
          <w:highlight w:val="none"/>
          <w:shd w:fill="auto" w:val="clear"/>
          <w:lang w:eastAsia="en-US"/>
        </w:rPr>
      </w:pPr>
      <w:r>
        <w:rPr>
          <w:rFonts w:ascii="Verdana" w:hAnsi="Verdana"/>
          <w:b w:val="false"/>
          <w:bCs w:val="false"/>
          <w:sz w:val="20"/>
          <w:shd w:fill="auto" w:val="clear"/>
          <w:lang w:eastAsia="en-US"/>
        </w:rPr>
        <w:t>10.6. O pagamento será efetuado no prazo de até 30 (trinta) dias úteis contados da finalização da liquidação da despesa.</w:t>
      </w:r>
    </w:p>
    <w:p>
      <w:pPr>
        <w:pStyle w:val="Normal"/>
        <w:spacing w:lineRule="auto" w:line="276" w:before="57" w:after="57"/>
        <w:ind w:hanging="0" w:left="0" w:right="0"/>
        <w:jc w:val="both"/>
        <w:rPr>
          <w:rFonts w:ascii="Verdana" w:hAnsi="Verdana"/>
          <w:sz w:val="20"/>
          <w:szCs w:val="20"/>
        </w:rPr>
      </w:pPr>
      <w:r>
        <w:rPr>
          <w:rFonts w:ascii="Verdana" w:hAnsi="Verdana"/>
          <w:b w:val="false"/>
          <w:bCs w:val="false"/>
          <w:i w:val="false"/>
          <w:iCs w:val="false"/>
          <w:sz w:val="20"/>
          <w:szCs w:val="20"/>
        </w:rPr>
        <w:t>10.7. O pagamento será realizado por meio de ordem bancária, para crédito em banco, agência e conta correntes indicadas pelo contratado.</w:t>
      </w:r>
    </w:p>
    <w:p>
      <w:pPr>
        <w:pStyle w:val="Normal"/>
        <w:spacing w:lineRule="auto" w:line="276" w:before="57" w:after="57"/>
        <w:ind w:hanging="0" w:left="0" w:right="0"/>
        <w:jc w:val="both"/>
        <w:rPr>
          <w:rFonts w:ascii="Verdana" w:hAnsi="Verdana"/>
          <w:sz w:val="20"/>
          <w:szCs w:val="20"/>
        </w:rPr>
      </w:pPr>
      <w:r>
        <w:rPr>
          <w:rFonts w:ascii="Verdana" w:hAnsi="Verdana"/>
          <w:b w:val="false"/>
          <w:bCs w:val="false"/>
          <w:i w:val="false"/>
          <w:iCs w:val="false"/>
          <w:sz w:val="20"/>
          <w:szCs w:val="20"/>
        </w:rPr>
        <w:t>10.8. Será considerada data do pagamento o dia em que constar como emitida a ordem bancária para pagamento.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i w:val="false"/>
          <w:iCs w:val="false"/>
          <w:sz w:val="20"/>
          <w:szCs w:val="20"/>
        </w:rPr>
        <w:t>10.9. Quando do pagamento, será efetuada a retenção tributária prevista na legislação aplicável.</w:t>
      </w:r>
    </w:p>
    <w:p>
      <w:pPr>
        <w:pStyle w:val="Normal"/>
        <w:spacing w:lineRule="auto" w:line="276" w:before="57" w:after="57"/>
        <w:ind w:hanging="0" w:left="0" w:right="0"/>
        <w:jc w:val="both"/>
        <w:rPr/>
      </w:pPr>
      <w:r>
        <w:rPr>
          <w:rFonts w:ascii="Verdana" w:hAnsi="Verdana"/>
          <w:b w:val="false"/>
          <w:bCs w:val="false"/>
          <w:i w:val="false"/>
          <w:iCs w:val="false"/>
          <w:sz w:val="20"/>
          <w:szCs w:val="20"/>
          <w:lang w:eastAsia="en-US"/>
        </w:rPr>
        <w:t xml:space="preserve">10.10. O contratado regularmente optante pelo Simples Nacional, nos termos da </w:t>
      </w:r>
      <w:hyperlink r:id="rId2">
        <w:r>
          <w:rPr>
            <w:rStyle w:val="ListLabel20"/>
            <w:rFonts w:ascii="Verdana" w:hAnsi="Verdana"/>
            <w:b w:val="false"/>
            <w:bCs w:val="false"/>
            <w:i w:val="false"/>
            <w:iCs w:val="false"/>
            <w:sz w:val="20"/>
            <w:szCs w:val="20"/>
            <w:u w:val="none"/>
            <w:lang w:eastAsia="en-US"/>
          </w:rPr>
          <w:t>Lei Complementar nº 123, de 2006</w:t>
        </w:r>
      </w:hyperlink>
      <w:r>
        <w:rPr>
          <w:rFonts w:ascii="Verdana" w:hAnsi="Verdana"/>
          <w:b w:val="false"/>
          <w:bCs w:val="false"/>
          <w:i w:val="false"/>
          <w:i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76" w:before="57" w:after="57"/>
        <w:ind w:hanging="0" w:left="0" w:right="0"/>
        <w:jc w:val="both"/>
        <w:rPr>
          <w:rFonts w:ascii="Verdana" w:hAnsi="Verdana"/>
          <w:sz w:val="20"/>
          <w:szCs w:val="20"/>
        </w:rPr>
      </w:pPr>
      <w:r>
        <w:rPr>
          <w:rFonts w:ascii="Verdana" w:hAnsi="Verdana"/>
          <w:b w:val="false"/>
          <w:bCs w:val="false"/>
          <w:i w:val="false"/>
          <w:iCs w:val="false"/>
          <w:sz w:val="20"/>
          <w:szCs w:val="20"/>
          <w:lang w:eastAsia="en-US"/>
        </w:rPr>
        <w:t>10.11.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76" w:before="57" w:after="57"/>
        <w:ind w:hanging="0" w:left="0" w:right="0"/>
        <w:jc w:val="both"/>
        <w:rPr>
          <w:rFonts w:ascii="Verdana" w:hAnsi="Verdana"/>
          <w:sz w:val="20"/>
          <w:szCs w:val="20"/>
        </w:rPr>
      </w:pPr>
      <w:r>
        <w:rPr>
          <w:rFonts w:ascii="Verdana" w:hAnsi="Verdana"/>
          <w:b w:val="false"/>
          <w:bCs w:val="false"/>
          <w:i w:val="false"/>
          <w:iCs w:val="false"/>
          <w:color w:val="000000"/>
          <w:sz w:val="20"/>
          <w:szCs w:val="20"/>
        </w:rPr>
        <w:t>10.11.</w:t>
      </w:r>
      <w:r>
        <w:rPr>
          <w:rFonts w:ascii="Verdana" w:hAnsi="Verdana"/>
          <w:b/>
          <w:bCs/>
          <w:color w:val="000000"/>
          <w:sz w:val="20"/>
          <w:szCs w:val="20"/>
        </w:rPr>
        <w:t xml:space="preserve"> </w:t>
      </w:r>
      <w:r>
        <w:rPr>
          <w:rFonts w:ascii="Verdana" w:hAnsi="Verdana"/>
          <w:sz w:val="20"/>
          <w:szCs w:val="20"/>
        </w:rPr>
        <w:t>Após o prazo acima referenciado, será paga multa financeira nos seguintes termos:</w:t>
      </w:r>
    </w:p>
    <w:p>
      <w:pPr>
        <w:pStyle w:val="PargrafodaLista"/>
        <w:tabs>
          <w:tab w:val="clear" w:pos="708"/>
          <w:tab w:val="left" w:pos="518" w:leader="none"/>
        </w:tabs>
        <w:spacing w:lineRule="auto" w:line="276" w:before="57" w:after="57"/>
        <w:ind w:hanging="0" w:left="0" w:right="0"/>
        <w:contextualSpacing w:val="false"/>
        <w:jc w:val="center"/>
        <w:rPr>
          <w:rFonts w:ascii="Verdana" w:hAnsi="Verdana"/>
          <w:sz w:val="20"/>
          <w:szCs w:val="20"/>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PargrafodaLista"/>
        <w:tabs>
          <w:tab w:val="clear" w:pos="708"/>
          <w:tab w:val="left" w:pos="518" w:leader="none"/>
        </w:tabs>
        <w:spacing w:lineRule="auto" w:line="276" w:before="57" w:after="57"/>
        <w:ind w:hanging="0" w:left="0" w:right="0"/>
        <w:contextualSpacing w:val="false"/>
        <w:jc w:val="center"/>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76" w:before="57" w:after="57"/>
        <w:ind w:left="0" w:right="0"/>
        <w:rPr>
          <w:rFonts w:ascii="Verdana" w:hAnsi="Verdana"/>
          <w:sz w:val="20"/>
          <w:szCs w:val="20"/>
        </w:rPr>
      </w:pPr>
      <w:r>
        <w:rPr>
          <w:rFonts w:cs="Arial" w:ascii="Verdana" w:hAnsi="Verdana"/>
          <w:color w:val="000000"/>
          <w:sz w:val="20"/>
          <w:szCs w:val="20"/>
        </w:rPr>
        <w:t xml:space="preserve">Onde: </w:t>
      </w:r>
    </w:p>
    <w:p>
      <w:pPr>
        <w:pStyle w:val="Normal"/>
        <w:suppressAutoHyphens w:val="false"/>
        <w:spacing w:lineRule="auto" w:line="276" w:before="57" w:after="57"/>
        <w:ind w:left="0" w:right="0"/>
        <w:rPr>
          <w:rFonts w:ascii="Verdana" w:hAnsi="Verdana"/>
          <w:sz w:val="20"/>
          <w:szCs w:val="20"/>
        </w:rPr>
      </w:pPr>
      <w:r>
        <w:rPr>
          <w:rFonts w:cs="Arial" w:ascii="Verdana" w:hAnsi="Verdana"/>
          <w:color w:val="000000"/>
          <w:sz w:val="20"/>
          <w:szCs w:val="20"/>
        </w:rPr>
        <w:t xml:space="preserve">VM = Valor da Multa Financeira; </w:t>
      </w:r>
    </w:p>
    <w:p>
      <w:pPr>
        <w:pStyle w:val="Normal"/>
        <w:suppressAutoHyphens w:val="false"/>
        <w:spacing w:lineRule="auto" w:line="276" w:before="57" w:after="57"/>
        <w:ind w:left="0" w:right="0"/>
        <w:rPr>
          <w:rFonts w:ascii="Verdana" w:hAnsi="Verdana"/>
          <w:sz w:val="20"/>
          <w:szCs w:val="20"/>
        </w:rPr>
      </w:pPr>
      <w:r>
        <w:rPr>
          <w:rFonts w:cs="Arial" w:ascii="Verdana" w:hAnsi="Verdana"/>
          <w:color w:val="000000"/>
          <w:sz w:val="20"/>
          <w:szCs w:val="20"/>
        </w:rPr>
        <w:t xml:space="preserve">VF = Valor da Nota Fiscal; </w:t>
      </w:r>
    </w:p>
    <w:p>
      <w:pPr>
        <w:pStyle w:val="PargrafodaLista"/>
        <w:tabs>
          <w:tab w:val="clear" w:pos="708"/>
          <w:tab w:val="left" w:pos="518" w:leader="none"/>
        </w:tabs>
        <w:spacing w:lineRule="auto" w:line="276" w:before="57" w:after="57"/>
        <w:ind w:hanging="0" w:left="0" w:right="0"/>
        <w:contextualSpacing w:val="false"/>
        <w:rPr>
          <w:rFonts w:ascii="Verdana" w:hAnsi="Verdana"/>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276" w:before="57" w:after="57"/>
        <w:ind w:left="0" w:right="0"/>
        <w:jc w:val="both"/>
        <w:rPr>
          <w:rFonts w:ascii="Verdana" w:hAnsi="Verdana"/>
          <w:sz w:val="20"/>
          <w:szCs w:val="20"/>
        </w:rPr>
      </w:pPr>
      <w:r>
        <w:rPr>
          <w:rFonts w:eastAsia="Times New Roman" w:cs="Arial" w:ascii="Verdana" w:hAnsi="Verdana"/>
          <w:b w:val="false"/>
          <w:bCs w:val="false"/>
          <w:color w:val="000000"/>
          <w:sz w:val="20"/>
          <w:szCs w:val="20"/>
        </w:rPr>
        <w:t xml:space="preserve">10.12.. </w:t>
      </w:r>
      <w:r>
        <w:rPr>
          <w:rFonts w:cs="Arial" w:ascii="Verdana" w:hAnsi="Verdana"/>
          <w:b w:val="false"/>
          <w:bCs w:val="false"/>
          <w:color w:val="000000"/>
          <w:sz w:val="20"/>
          <w:szCs w:val="20"/>
        </w:rPr>
        <w:t>A NOTA FISCAL ELETRÔNICA deverá conter o mesmo CNPJ e razão social apresentado quando na proposta, assim como, o número da contratação, o (s) objeto (s), os valores unitários e totais.</w:t>
      </w:r>
    </w:p>
    <w:p>
      <w:pPr>
        <w:pStyle w:val="Normal"/>
        <w:suppressAutoHyphens w:val="false"/>
        <w:spacing w:lineRule="auto" w:line="276" w:before="57" w:after="57"/>
        <w:ind w:left="0" w:right="0"/>
        <w:jc w:val="both"/>
        <w:rPr>
          <w:rFonts w:ascii="Verdana" w:hAnsi="Verdana"/>
          <w:sz w:val="20"/>
          <w:szCs w:val="20"/>
        </w:rPr>
      </w:pPr>
      <w:r>
        <w:rPr>
          <w:rFonts w:eastAsia="Times New Roman" w:cs="Arial" w:ascii="Verdana" w:hAnsi="Verdana"/>
          <w:b w:val="false"/>
          <w:bCs w:val="false"/>
          <w:color w:val="000000"/>
          <w:sz w:val="20"/>
          <w:szCs w:val="20"/>
        </w:rPr>
        <w:t>10.13.</w:t>
      </w:r>
      <w:r>
        <w:rPr>
          <w:rFonts w:cs="Arial" w:ascii="Verdana" w:hAnsi="Verdana"/>
          <w:b w:val="false"/>
          <w:bCs w:val="false"/>
          <w:color w:val="000000"/>
          <w:sz w:val="20"/>
          <w:szCs w:val="20"/>
        </w:rPr>
        <w:t xml:space="preserve"> Qualquer alteração feita no contrato social, ato constitutivo ou estatuto deverá ser co</w:t>
      </w:r>
      <w:r>
        <w:rPr>
          <w:rFonts w:cs="Arial" w:ascii="Verdana" w:hAnsi="Verdana"/>
          <w:color w:val="000000"/>
          <w:sz w:val="20"/>
          <w:szCs w:val="20"/>
        </w:rPr>
        <w:t xml:space="preserve">municado ao CONTRATANTE, mediante documentação própria, para apreciação da autoridade competente. </w:t>
      </w:r>
    </w:p>
    <w:p>
      <w:pPr>
        <w:pStyle w:val="Normal"/>
        <w:suppressAutoHyphens w:val="false"/>
        <w:spacing w:lineRule="auto" w:line="276" w:before="57" w:after="57"/>
        <w:ind w:left="0" w:right="0"/>
        <w:jc w:val="both"/>
        <w:rPr>
          <w:rFonts w:ascii="Verdana" w:hAnsi="Verdana"/>
          <w:sz w:val="20"/>
          <w:szCs w:val="20"/>
        </w:rPr>
      </w:pPr>
      <w:r>
        <w:rPr>
          <w:rFonts w:eastAsia="Times New Roman" w:cs="Arial" w:ascii="Verdana" w:hAnsi="Verdana"/>
          <w:b w:val="false"/>
          <w:bCs w:val="false"/>
          <w:color w:val="000000"/>
          <w:sz w:val="20"/>
          <w:szCs w:val="20"/>
        </w:rPr>
        <w:t xml:space="preserve">10.14. </w:t>
      </w:r>
      <w:r>
        <w:rPr>
          <w:rFonts w:cs="Arial" w:ascii="Verdana" w:hAnsi="Verdana"/>
          <w:b w:val="false"/>
          <w:bCs w:val="false"/>
          <w:color w:val="000000"/>
          <w:sz w:val="20"/>
          <w:szCs w:val="20"/>
        </w:rPr>
        <w:t>O CONTRATANTE poderá deduzir do pagamento importâncias que a qualquer título lhe forem devidos pela empresa CONTRATADA, em decorrência de descumprimento de suas obrigações.</w:t>
      </w:r>
    </w:p>
    <w:p>
      <w:pPr>
        <w:pStyle w:val="Default"/>
        <w:spacing w:lineRule="auto" w:line="276" w:before="57" w:after="57"/>
        <w:ind w:left="0" w:right="0"/>
        <w:jc w:val="both"/>
        <w:rPr>
          <w:rFonts w:ascii="Verdana" w:hAnsi="Verdana"/>
          <w:sz w:val="20"/>
          <w:szCs w:val="20"/>
        </w:rPr>
      </w:pPr>
      <w:r>
        <w:rPr>
          <w:rFonts w:cs="Arial" w:ascii="Verdana" w:hAnsi="Verdana"/>
          <w:b w:val="false"/>
          <w:bCs w:val="false"/>
          <w:sz w:val="20"/>
          <w:szCs w:val="20"/>
        </w:rPr>
        <w:t>10.15.</w:t>
      </w:r>
      <w:r>
        <w:rPr>
          <w:rFonts w:cs="Arial" w:ascii="Verdana" w:hAnsi="Verdana"/>
          <w:sz w:val="20"/>
          <w:szCs w:val="20"/>
        </w:rPr>
        <w:t xml:space="preserve"> Para a efetivação do pagamento, a CONTRATADA deverá manter as </w:t>
      </w:r>
      <w:r>
        <w:rPr>
          <w:rFonts w:cs="Arial" w:ascii="Verdana" w:hAnsi="Verdana"/>
          <w:sz w:val="20"/>
          <w:szCs w:val="20"/>
          <w:lang w:eastAsia="pt-BR"/>
        </w:rPr>
        <w:t>condições relativas à proposta de preço e a habilitação;</w:t>
      </w:r>
    </w:p>
    <w:p>
      <w:pPr>
        <w:pStyle w:val="Default"/>
        <w:spacing w:lineRule="auto" w:line="276" w:before="57" w:after="57"/>
        <w:ind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bCs/>
          <w:iCs/>
          <w:color w:val="000000"/>
          <w:sz w:val="20"/>
          <w:szCs w:val="20"/>
        </w:rPr>
        <w:t>11</w:t>
      </w:r>
      <w:r>
        <w:rPr>
          <w:rFonts w:ascii="Verdana" w:hAnsi="Verdana"/>
          <w:b/>
          <w:bCs/>
          <w:iCs/>
          <w:sz w:val="20"/>
          <w:szCs w:val="20"/>
        </w:rPr>
        <w:t>. DAS SANÇÕES</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 Comete infração administrativa o fornecedor/prestador de serviço que cometer quaisquer das infrações previstas no art. 155 da Lei nº 14.133, de 2021, quais sejam:</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 Dar causa à inexecução parcial do contrato.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.1.2. Dar causa à inexecução parcial que cause grave dano à Administração, ao funcionamento dos serviços públicos ou ao interesse coletivo.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.1.3. Dar causa à inexecução</w:t>
      </w:r>
      <w:r>
        <w:rPr>
          <w:rFonts w:ascii="Verdana" w:hAnsi="Verdana"/>
          <w:b w:val="false"/>
          <w:bCs w:val="false"/>
          <w:iCs/>
          <w:sz w:val="20"/>
          <w:szCs w:val="20"/>
          <w:u w:val="none"/>
        </w:rPr>
        <w:t xml:space="preserve"> </w:t>
      </w:r>
      <w:r>
        <w:rPr>
          <w:rFonts w:cs="Arial" w:ascii="Verdana" w:hAnsi="Verdana"/>
          <w:b w:val="false"/>
          <w:bCs w:val="false"/>
          <w:iCs/>
          <w:sz w:val="20"/>
          <w:szCs w:val="20"/>
          <w:u w:val="none"/>
        </w:rPr>
        <w:t>total.</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.1.4. Deixar de entregar a documentação exigida para o certame.</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.1.5. Não manter a proposta, salvo em decorrência de fato superveniente devidamente justificado.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 xml:space="preserve">.1.6. Não celebrar o contrato ou não entregar a documentação exigida para a contratação, quando convocado dentro do prazo de validade de sua proposta. </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.1.7. Ensejar o retardamento da execução ou da entrega do objeto sem motivo justificado,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.1.8. Apresentar declaração ou documentação falsa exigida para o certame ou prestar declaração falsa durante a dispensa eletrônica ou a execução do objeto.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rPr>
        <w:t>11.1.9. Fraudar a dispensa eletrônica ou praticar ato fraudulento na execução do objeto.</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 Comportar-se de modo inidôneo ou cometer fraude de qualquer natureza.</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.1.10.1.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.1.11. Praticar atos ilícitos com vistas a frustrar os objetivos deste certame.</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.1.12. Praticar ato lesivo previsto no art. 5º da Lei nº 12.846, de 1º de agosto de 2013.</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11.1.13.</w:t>
      </w:r>
      <w:r>
        <w:rPr>
          <w:rFonts w:ascii="Verdana" w:hAnsi="Verdana"/>
          <w:b w:val="false"/>
          <w:bCs w:val="false"/>
          <w:iCs/>
          <w:sz w:val="20"/>
          <w:szCs w:val="20"/>
        </w:rPr>
        <w:t xml:space="preserve"> O fornecedor que cometer qualquer das infrações discriminadas nos subitens anteriores fica</w:t>
      </w:r>
      <w:r>
        <w:rPr>
          <w:rFonts w:ascii="Verdana" w:hAnsi="Verdana"/>
          <w:iCs/>
          <w:sz w:val="20"/>
          <w:szCs w:val="20"/>
        </w:rPr>
        <w:t>rá sujeito, sem prejuízo da responsabilidade civil e criminal, às seguintes sanções:</w:t>
      </w:r>
    </w:p>
    <w:p>
      <w:pPr>
        <w:pStyle w:val="Normal"/>
        <w:spacing w:lineRule="auto" w:line="276" w:before="57" w:after="57"/>
        <w:ind w:hanging="0" w:left="0" w:right="0"/>
        <w:jc w:val="both"/>
        <w:rPr>
          <w:rFonts w:ascii="Verdana" w:hAnsi="Verdana"/>
          <w:sz w:val="20"/>
          <w:szCs w:val="20"/>
        </w:rPr>
      </w:pPr>
      <w:r>
        <w:rPr>
          <w:rFonts w:ascii="Verdana" w:hAnsi="Verdana"/>
          <w:iCs/>
          <w:sz w:val="20"/>
          <w:szCs w:val="20"/>
        </w:rPr>
        <w:t xml:space="preserve">         </w:t>
      </w:r>
      <w:r>
        <w:rPr>
          <w:rFonts w:ascii="Verdana" w:hAnsi="Verdana"/>
          <w:iCs/>
          <w:sz w:val="20"/>
          <w:szCs w:val="20"/>
        </w:rPr>
        <w:t>a) Advertência pela falta do subitem 11.1.1 deste Termo de Referência, quando não se justificar a imposição de penalidade mais grave.</w:t>
      </w:r>
    </w:p>
    <w:p>
      <w:pPr>
        <w:pStyle w:val="Normal"/>
        <w:spacing w:lineRule="auto" w:line="276" w:before="57" w:after="57"/>
        <w:ind w:hanging="0" w:left="0" w:right="0"/>
        <w:jc w:val="both"/>
        <w:rPr>
          <w:rFonts w:ascii="Verdana" w:hAnsi="Verdana"/>
          <w:sz w:val="20"/>
          <w:szCs w:val="20"/>
        </w:rPr>
      </w:pPr>
      <w:r>
        <w:rPr>
          <w:rFonts w:ascii="Verdana" w:hAnsi="Verdana"/>
          <w:iCs/>
          <w:sz w:val="20"/>
          <w:szCs w:val="20"/>
        </w:rPr>
        <w:tab/>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iCs/>
          <w:color w:val="000000"/>
          <w:sz w:val="20"/>
          <w:szCs w:val="20"/>
        </w:rPr>
        <w:t>11</w:t>
      </w:r>
      <w:r>
        <w:rPr>
          <w:rFonts w:ascii="Verdana" w:hAnsi="Verdana"/>
          <w:iCs/>
          <w:sz w:val="20"/>
          <w:szCs w:val="20"/>
        </w:rPr>
        <w:t xml:space="preserve">.1.7 e 20% (vinte por cento), se cometidas infrações previstas nos itens 11.1.8 a 11.1.12; </w:t>
      </w:r>
    </w:p>
    <w:p>
      <w:pPr>
        <w:pStyle w:val="Normal"/>
        <w:spacing w:lineRule="auto" w:line="276" w:before="57" w:after="57"/>
        <w:ind w:hanging="0" w:left="0" w:right="0"/>
        <w:jc w:val="both"/>
        <w:rPr>
          <w:rFonts w:ascii="Verdana" w:hAnsi="Verdana"/>
          <w:sz w:val="20"/>
          <w:szCs w:val="20"/>
        </w:rPr>
      </w:pPr>
      <w:r>
        <w:rPr>
          <w:rFonts w:ascii="Verdana" w:hAnsi="Verdana"/>
          <w:iCs/>
          <w:sz w:val="20"/>
          <w:szCs w:val="20"/>
        </w:rPr>
        <w:tab/>
        <w:tab/>
        <w:t>b.1) O valor da multa poderá ser descontado das faturas devidas à CONTRATADA;</w:t>
      </w:r>
    </w:p>
    <w:p>
      <w:pPr>
        <w:pStyle w:val="Normal"/>
        <w:spacing w:lineRule="auto" w:line="276" w:before="57" w:after="57"/>
        <w:ind w:hanging="0" w:left="0" w:right="0"/>
        <w:jc w:val="both"/>
        <w:rPr>
          <w:rFonts w:ascii="Verdana" w:hAnsi="Verdana"/>
          <w:sz w:val="20"/>
          <w:szCs w:val="20"/>
        </w:rPr>
      </w:pPr>
      <w:r>
        <w:rPr>
          <w:rFonts w:ascii="Verdana" w:hAnsi="Verdana"/>
          <w:iCs/>
          <w:sz w:val="20"/>
          <w:szCs w:val="20"/>
        </w:rPr>
        <w:tab/>
        <w:tab/>
        <w:t xml:space="preserve">b.2) A multa pode ser aplicada isoladamente ou juntamente com as penalidades definidas nos itens “c” e “d” abaixo: </w:t>
      </w:r>
    </w:p>
    <w:p>
      <w:pPr>
        <w:pStyle w:val="Normal"/>
        <w:spacing w:lineRule="auto" w:line="276" w:before="57" w:after="57"/>
        <w:ind w:hanging="0" w:left="0" w:right="0"/>
        <w:jc w:val="both"/>
        <w:rPr>
          <w:rFonts w:ascii="Verdana" w:hAnsi="Verdana"/>
          <w:sz w:val="20"/>
          <w:szCs w:val="20"/>
        </w:rPr>
      </w:pPr>
      <w:r>
        <w:rPr>
          <w:rFonts w:ascii="Verdana" w:hAnsi="Verdana"/>
          <w:iCs/>
          <w:sz w:val="20"/>
          <w:szCs w:val="20"/>
        </w:rPr>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pPr>
        <w:pStyle w:val="Normal"/>
        <w:spacing w:lineRule="auto" w:line="276" w:before="57" w:after="57"/>
        <w:ind w:hanging="0" w:left="0" w:right="0"/>
        <w:jc w:val="both"/>
        <w:rPr>
          <w:rFonts w:ascii="Verdana" w:hAnsi="Verdana"/>
          <w:sz w:val="20"/>
          <w:szCs w:val="20"/>
        </w:rPr>
      </w:pPr>
      <w:r>
        <w:rPr>
          <w:rFonts w:ascii="Verdana" w:hAnsi="Verdana"/>
          <w:iCs/>
          <w:sz w:val="20"/>
          <w:szCs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 Na aplicação das sanções serão considerados:</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.3.1. A natureza e a gravidade da infração cometida.</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rPr>
        <w:t>11.3.2. As peculiaridades do caso concreto.</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rPr>
        <w:t>11.3.3. As circunstâncias agravantes ou atenuantes.</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rPr>
        <w:t>11.3.4. Os danos que dela provierem para a Administração Pública.</w:t>
      </w:r>
    </w:p>
    <w:p>
      <w:pPr>
        <w:pStyle w:val="Normal"/>
        <w:spacing w:lineRule="auto" w:line="276" w:before="57" w:after="57"/>
        <w:ind w:hanging="0" w:left="0" w:right="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.3.5. A implantação ou o aperfeiçoamento de programa de integridade, conforme normas e orientações dos órgãos de controle.</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76" w:before="57" w:after="57"/>
        <w:ind w:hanging="0" w:left="0" w:right="0"/>
        <w:jc w:val="both"/>
        <w:rPr>
          <w:rFonts w:ascii="Verdana" w:hAnsi="Verdana"/>
          <w:sz w:val="20"/>
          <w:szCs w:val="20"/>
        </w:rPr>
      </w:pPr>
      <w:r>
        <w:rPr>
          <w:rFonts w:ascii="Verdana" w:hAnsi="Verdana"/>
          <w:b w:val="false"/>
          <w:bCs w:val="false"/>
          <w:iCs/>
          <w:sz w:val="20"/>
          <w:szCs w:val="20"/>
          <w:lang w:eastAsia="en-US"/>
        </w:rPr>
        <w:t xml:space="preserve">11.5. </w:t>
      </w:r>
      <w:r>
        <w:rPr>
          <w:rFonts w:ascii="Verdana" w:hAnsi="Verdana"/>
          <w:iCs/>
          <w:sz w:val="20"/>
          <w:szCs w:val="20"/>
          <w:lang w:eastAsia="en-U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Normal"/>
        <w:spacing w:lineRule="auto" w:line="276" w:before="57" w:after="57"/>
        <w:ind w:hanging="0" w:left="0" w:right="0"/>
        <w:jc w:val="both"/>
        <w:rPr>
          <w:rFonts w:ascii="Verdana" w:hAnsi="Verdana"/>
          <w:sz w:val="20"/>
          <w:szCs w:val="20"/>
        </w:rPr>
      </w:pPr>
      <w:r>
        <w:rPr>
          <w:rFonts w:ascii="Verdana" w:hAnsi="Verdana"/>
          <w:b/>
          <w:bCs/>
          <w:sz w:val="20"/>
          <w:szCs w:val="20"/>
          <w:lang w:eastAsia="en-US"/>
        </w:rPr>
        <w:t>12. DA HABILITAÇÃO</w:t>
      </w:r>
    </w:p>
    <w:p>
      <w:pPr>
        <w:pStyle w:val="Nivel011"/>
        <w:tabs>
          <w:tab w:val="left" w:pos="517" w:leader="none"/>
          <w:tab w:val="left" w:pos="567" w:leader="none"/>
          <w:tab w:val="left" w:pos="683" w:leader="none"/>
        </w:tabs>
        <w:spacing w:lineRule="auto" w:line="276" w:before="57" w:after="57"/>
        <w:ind w:hanging="0" w:left="0" w:right="0"/>
        <w:rPr>
          <w:rFonts w:ascii="Verdana" w:hAnsi="Verdana"/>
          <w:sz w:val="20"/>
          <w:szCs w:val="20"/>
        </w:rPr>
      </w:pPr>
      <w:r>
        <w:rPr>
          <w:rFonts w:cs="Verdana" w:ascii="Verdana" w:hAnsi="Verdana"/>
          <w:b w:val="false"/>
          <w:bCs w:val="false"/>
          <w:sz w:val="20"/>
          <w:szCs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a) SICAF;</w:t>
      </w:r>
    </w:p>
    <w:p>
      <w:pPr>
        <w:pStyle w:val="ListParagraph"/>
        <w:spacing w:lineRule="auto" w:line="276" w:before="57" w:after="57"/>
        <w:ind w:hanging="0" w:left="0" w:right="0"/>
        <w:contextualSpacing w:val="false"/>
        <w:jc w:val="both"/>
        <w:rPr/>
      </w:pPr>
      <w:r>
        <w:rPr>
          <w:rFonts w:cs="Verdana" w:ascii="Verdana" w:hAnsi="Verdana"/>
          <w:b w:val="false"/>
          <w:bCs w:val="false"/>
          <w:sz w:val="20"/>
          <w:szCs w:val="20"/>
          <w:lang w:eastAsia="ar-SA"/>
        </w:rPr>
        <w:t>b) Cadastro Nacional de Empresas Inidôneas e Suspensas – CEIS, mantido pela Controladoria-Geral da União (</w:t>
      </w:r>
      <w:hyperlink r:id="rId3">
        <w:r>
          <w:rPr>
            <w:rStyle w:val="ListLabel21"/>
            <w:rFonts w:cs="Verdana" w:ascii="Verdana" w:hAnsi="Verdana"/>
            <w:b w:val="false"/>
            <w:bCs w:val="false"/>
            <w:color w:val="000080"/>
            <w:sz w:val="20"/>
            <w:szCs w:val="20"/>
            <w:u w:val="single"/>
            <w:lang w:eastAsia="ar-SA"/>
          </w:rPr>
          <w:t>www.portaldatransparencia.gov.br/ceis</w:t>
        </w:r>
      </w:hyperlink>
      <w:r>
        <w:rPr>
          <w:rFonts w:cs="Verdana" w:ascii="Verdana" w:hAnsi="Verdana"/>
          <w:b w:val="false"/>
          <w:bCs w:val="false"/>
          <w:sz w:val="20"/>
          <w:szCs w:val="20"/>
          <w:lang w:eastAsia="ar-SA"/>
        </w:rPr>
        <w:t>);</w:t>
      </w:r>
    </w:p>
    <w:p>
      <w:pPr>
        <w:pStyle w:val="ListParagraph"/>
        <w:spacing w:lineRule="auto" w:line="276" w:before="57" w:after="57"/>
        <w:ind w:hanging="0" w:left="0" w:right="0"/>
        <w:contextualSpacing w:val="false"/>
        <w:jc w:val="both"/>
        <w:rPr/>
      </w:pPr>
      <w:r>
        <w:rPr>
          <w:rFonts w:cs="Verdana" w:ascii="Verdana" w:hAnsi="Verdana"/>
          <w:b w:val="false"/>
          <w:bCs w:val="false"/>
          <w:sz w:val="20"/>
          <w:szCs w:val="20"/>
          <w:lang w:eastAsia="ar-SA"/>
        </w:rPr>
        <w:t>c) Cadastro Nacional de Condenações Cíveis por Atos de Improbidade Administrativa, mantido pelo Conselho Nacional de Justiça (</w:t>
      </w:r>
      <w:hyperlink r:id="rId4">
        <w:r>
          <w:rPr>
            <w:rStyle w:val="ListLabel21"/>
            <w:rFonts w:cs="Verdana" w:ascii="Verdana" w:hAnsi="Verdana"/>
            <w:b w:val="false"/>
            <w:bCs w:val="false"/>
            <w:color w:val="000080"/>
            <w:sz w:val="20"/>
            <w:szCs w:val="20"/>
            <w:u w:val="single"/>
            <w:lang w:eastAsia="ar-SA"/>
          </w:rPr>
          <w:t>www.cnj.jus.br/improbidade_adm/consultar_requerido.php</w:t>
        </w:r>
      </w:hyperlink>
      <w:r>
        <w:rPr>
          <w:rFonts w:cs="Verdana" w:ascii="Verdana" w:hAnsi="Verdana"/>
          <w:b w:val="false"/>
          <w:bCs w:val="false"/>
          <w:sz w:val="20"/>
          <w:szCs w:val="20"/>
          <w:lang w:eastAsia="ar-SA"/>
        </w:rPr>
        <w:t>).</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ind w:left="0" w:right="0"/>
        <w:jc w:val="both"/>
        <w:rPr/>
      </w:pPr>
      <w:r>
        <w:rPr>
          <w:rFonts w:cs="Verdana" w:ascii="Verdana" w:hAnsi="Verdana"/>
          <w:b w:val="false"/>
          <w:bCs w:val="false"/>
          <w:sz w:val="20"/>
          <w:szCs w:val="20"/>
          <w:lang w:eastAsia="ar-SA"/>
        </w:rPr>
        <w:t>e) Cadastro de empresas inid</w:t>
      </w:r>
      <w:r>
        <w:rPr>
          <w:rFonts w:cs="Verdana" w:ascii="Verdana" w:hAnsi="Verdana"/>
          <w:b w:val="false"/>
          <w:bCs w:val="false"/>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2"/>
            <w:rFonts w:cs="Verdana" w:ascii="Verdana" w:hAnsi="Verdana"/>
            <w:b w:val="false"/>
            <w:bCs w:val="false"/>
            <w:color w:val="000080"/>
            <w:sz w:val="20"/>
            <w:szCs w:val="20"/>
            <w:u w:val="single"/>
          </w:rPr>
          <w:t>https://www.tcees.tc.br/portal-da-transparencia/consultas/lista-de</w:t>
        </w:r>
      </w:hyperlink>
      <w:r>
        <w:rPr>
          <w:rFonts w:cs="Verdana" w:ascii="Verdana" w:hAnsi="Verdana"/>
          <w:b w:val="false"/>
          <w:bCs w:val="false"/>
          <w:sz w:val="20"/>
          <w:szCs w:val="20"/>
        </w:rPr>
        <w:t xml:space="preserve"> responsáveis/proibidos-de-contratar/).</w:t>
      </w:r>
    </w:p>
    <w:p>
      <w:pPr>
        <w:pStyle w:val="Normal"/>
        <w:spacing w:lineRule="auto" w:line="276" w:before="57" w:after="57"/>
        <w:ind w:left="0" w:right="0"/>
        <w:jc w:val="both"/>
        <w:rPr/>
      </w:pPr>
      <w:r>
        <w:rPr>
          <w:rFonts w:cs="Verdana" w:ascii="Verdana" w:hAnsi="Verdana"/>
          <w:b w:val="false"/>
          <w:bCs w:val="false"/>
          <w:sz w:val="20"/>
          <w:szCs w:val="20"/>
          <w:lang w:eastAsia="ar-SA"/>
        </w:rPr>
        <w:t xml:space="preserve">12.1.1. </w:t>
      </w:r>
      <w:r>
        <w:rPr>
          <w:rFonts w:cs="Verdana" w:ascii="Verdana" w:hAnsi="Verdana"/>
          <w:sz w:val="20"/>
          <w:szCs w:val="20"/>
          <w:lang w:eastAsia="ar-SA"/>
        </w:rPr>
        <w:t>Para a consulta de licitantes pessoa jurídica poderá haver a substituição das consultas das alíneas “b”, “c” e “d” acima pela Consulta Consolidada de Pessoa Jurídica do TCU (</w:t>
      </w:r>
      <w:hyperlink r:id="rId6">
        <w:r>
          <w:rPr>
            <w:rStyle w:val="ListLabel23"/>
            <w:rFonts w:cs="Verdana" w:ascii="Verdana" w:hAnsi="Verdana"/>
            <w:color w:val="000080"/>
            <w:sz w:val="20"/>
            <w:szCs w:val="20"/>
            <w:u w:val="single"/>
            <w:lang w:eastAsia="ar-SA"/>
          </w:rPr>
          <w:t>https://certidoesapf.apps.tcu.gov.br/</w:t>
        </w:r>
      </w:hyperlink>
      <w:r>
        <w:rPr>
          <w:rFonts w:cs="Verdana" w:ascii="Verdana" w:hAnsi="Verdana"/>
          <w:sz w:val="20"/>
          <w:szCs w:val="20"/>
          <w:lang w:eastAsia="ar-SA"/>
        </w:rPr>
        <w:t>);</w:t>
      </w:r>
    </w:p>
    <w:p>
      <w:pPr>
        <w:pStyle w:val="Normal"/>
        <w:spacing w:lineRule="auto" w:line="276" w:before="57" w:after="57"/>
        <w:ind w:left="0" w:right="0"/>
        <w:jc w:val="both"/>
        <w:rPr>
          <w:rFonts w:ascii="Verdana" w:hAnsi="Verdana"/>
          <w:sz w:val="20"/>
          <w:szCs w:val="20"/>
        </w:rPr>
      </w:pPr>
      <w:r>
        <w:rPr>
          <w:rFonts w:cs="Verdana" w:ascii="Verdana" w:hAnsi="Verdana"/>
          <w:b w:val="false"/>
          <w:bCs w:val="false"/>
          <w:color w:val="000000"/>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12.1.2.1</w:t>
      </w:r>
      <w:r>
        <w:rPr>
          <w:rFonts w:cs="Verdana" w:ascii="Verdana" w:hAnsi="Verdana"/>
          <w:b/>
          <w:bCs/>
          <w:color w:val="000000"/>
          <w:sz w:val="20"/>
          <w:szCs w:val="20"/>
        </w:rPr>
        <w:t>.</w:t>
      </w:r>
      <w:r>
        <w:rPr>
          <w:rFonts w:cs="Verdana" w:ascii="Verdana" w:hAnsi="Verdana"/>
          <w:bCs/>
          <w:color w:val="000000"/>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12.1.2.3. O licitante será convocado para manifestação previamente à sua desclassificação.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12.1.3. Constatada a existência de sanção, o Pregoeiro reputará o licitante inabilitado, por falta de condição de participação.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 xml:space="preserve">12.2. </w:t>
      </w:r>
      <w:r>
        <w:rPr>
          <w:rFonts w:cs="Verdana" w:ascii="Verdana" w:hAnsi="Verdana"/>
          <w:b w:val="false"/>
          <w:bCs w:val="false"/>
          <w:color w:val="000000"/>
          <w:sz w:val="20"/>
          <w:szCs w:val="20"/>
        </w:rPr>
        <w:t xml:space="preserve">Caso atendidas as condições de participação, </w:t>
      </w:r>
      <w:r>
        <w:rPr>
          <w:rFonts w:cs="Verdana" w:ascii="Verdana" w:hAnsi="Verdana"/>
          <w:b w:val="false"/>
          <w:bCs w:val="false"/>
          <w:sz w:val="20"/>
          <w:szCs w:val="20"/>
        </w:rPr>
        <w:t>a habilitação dos licitantes será verificada por meio do SICAF, nos documentos por ele abrangidos</w:t>
      </w:r>
      <w:r>
        <w:rPr>
          <w:rFonts w:cs="Verdana" w:ascii="Verdana" w:hAnsi="Verdana"/>
          <w:b w:val="false"/>
          <w:bCs w:val="false"/>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12.3. Ha</w:t>
      </w:r>
      <w:r>
        <w:rPr>
          <w:rFonts w:cs="Verdana" w:ascii="Verdana" w:hAnsi="Verdana"/>
          <w:color w:val="000000"/>
          <w:sz w:val="20"/>
          <w:szCs w:val="20"/>
        </w:rPr>
        <w:t>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sz w:val="20"/>
          <w:szCs w:val="20"/>
        </w:rPr>
        <w:t>12.4. Somente haverá a necessidade de comprovação do preenchimento de requisitos mediante apresentação dos documentos originais não-digitais quando houver dúvida em relação à integridade do documento digital.</w:t>
      </w:r>
    </w:p>
    <w:p>
      <w:pPr>
        <w:pStyle w:val="PADRO"/>
        <w:widowControl/>
        <w:shd w:fill="FFFFFF"/>
        <w:tabs>
          <w:tab w:val="clear" w:pos="708"/>
          <w:tab w:val="left" w:pos="567" w:leader="none"/>
        </w:tabs>
        <w:spacing w:lineRule="auto" w:line="276" w:before="57" w:after="57"/>
        <w:ind w:hanging="0" w:left="0" w:right="0"/>
        <w:rPr>
          <w:rFonts w:ascii="Verdana" w:hAnsi="Verdana"/>
          <w:sz w:val="20"/>
          <w:szCs w:val="20"/>
        </w:rPr>
      </w:pPr>
      <w:r>
        <w:rPr>
          <w:rFonts w:cs="Verdana" w:ascii="Verdana" w:hAnsi="Verdana"/>
          <w:b w:val="false"/>
          <w:bCs w:val="false"/>
          <w:sz w:val="20"/>
          <w:szCs w:val="20"/>
        </w:rPr>
        <w:t>12.5. Não serão aceitos documentos de habilitação com indicação de CNPJ/CPF diferentes, salvo aqueles legalmente permitidos.</w:t>
      </w:r>
    </w:p>
    <w:p>
      <w:pPr>
        <w:pStyle w:val="PADRO"/>
        <w:widowControl/>
        <w:shd w:fill="FFFFFF"/>
        <w:tabs>
          <w:tab w:val="clear" w:pos="708"/>
          <w:tab w:val="left" w:pos="567" w:leader="none"/>
        </w:tabs>
        <w:spacing w:lineRule="auto" w:line="276" w:before="57" w:after="57"/>
        <w:ind w:hanging="0" w:left="0" w:right="0"/>
        <w:rPr>
          <w:rFonts w:ascii="Verdana" w:hAnsi="Verdana"/>
          <w:sz w:val="20"/>
          <w:szCs w:val="20"/>
        </w:rPr>
      </w:pPr>
      <w:r>
        <w:rPr>
          <w:rFonts w:cs="Verdana" w:ascii="Verdana" w:hAnsi="Verdana"/>
          <w:b w:val="false"/>
          <w:bCs w:val="false"/>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fill="FFFFFF"/>
        <w:tabs>
          <w:tab w:val="clear" w:pos="708"/>
          <w:tab w:val="left" w:pos="567" w:leader="none"/>
        </w:tabs>
        <w:spacing w:lineRule="auto" w:line="276" w:before="57" w:after="57"/>
        <w:ind w:hanging="0" w:left="0" w:right="0"/>
        <w:rPr>
          <w:rFonts w:ascii="Verdana" w:hAnsi="Verdana"/>
          <w:sz w:val="20"/>
          <w:szCs w:val="20"/>
        </w:rPr>
      </w:pPr>
      <w:r>
        <w:rPr>
          <w:rFonts w:cs="Verdana" w:ascii="Verdana" w:hAnsi="Verdana"/>
          <w:b w:val="false"/>
          <w:bCs w:val="false"/>
          <w:sz w:val="20"/>
          <w:szCs w:val="20"/>
        </w:rPr>
        <w:t>12.7. Ress</w:t>
      </w:r>
      <w:r>
        <w:rPr>
          <w:rFonts w:cs="Verdana" w:ascii="Verdana" w:hAnsi="Verdana"/>
          <w:sz w:val="20"/>
          <w:szCs w:val="20"/>
        </w:rPr>
        <w:t>alvado o disposto no item 5.3, os licitantes deverão encaminhar, nos termos deste Edital, a documentação relacionada nos itens a seguir, para fins de habilitação: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bCs/>
          <w:color w:val="000000"/>
          <w:sz w:val="20"/>
          <w:szCs w:val="20"/>
        </w:rPr>
        <w:t>12.8 Habilitação jurídica: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12.8.1 No caso de empresário individual: inscrição no Registro Público de Empresas Mercantis, a cargo da Junta Comercial da respectiva sede.</w:t>
      </w:r>
    </w:p>
    <w:p>
      <w:pPr>
        <w:pStyle w:val="ListParagraph"/>
        <w:spacing w:lineRule="auto" w:line="276" w:before="57" w:after="57"/>
        <w:ind w:hanging="0" w:left="0" w:right="0"/>
        <w:contextualSpacing w:val="false"/>
        <w:jc w:val="both"/>
        <w:rPr/>
      </w:pPr>
      <w:r>
        <w:rPr>
          <w:rFonts w:cs="Verdana" w:ascii="Verdana" w:hAnsi="Verdana"/>
          <w:b w:val="false"/>
          <w:bCs w:val="false"/>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7">
        <w:r>
          <w:rPr>
            <w:rStyle w:val="ListLabel24"/>
            <w:rFonts w:cs="Verdana" w:ascii="Verdana" w:hAnsi="Verdana"/>
            <w:b w:val="false"/>
            <w:bCs w:val="false"/>
            <w:color w:val="000000"/>
            <w:sz w:val="20"/>
            <w:szCs w:val="20"/>
            <w:u w:val="single"/>
          </w:rPr>
          <w:t>www.portaldoempreendedor.gov.br</w:t>
        </w:r>
      </w:hyperlink>
      <w:r>
        <w:rPr>
          <w:rFonts w:cs="Verdana" w:ascii="Verdana" w:hAnsi="Verdana"/>
          <w:b w:val="false"/>
          <w:bCs w:val="false"/>
          <w:color w:val="000000"/>
          <w:sz w:val="20"/>
          <w:szCs w:val="20"/>
          <w:u w:val="single"/>
        </w:rPr>
        <w:t>.</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12.8.7 No</w:t>
      </w:r>
      <w:r>
        <w:rPr>
          <w:rFonts w:cs="Verdana" w:ascii="Verdana" w:hAnsi="Verdana"/>
          <w:bCs/>
          <w:color w:val="000000"/>
          <w:sz w:val="20"/>
          <w:szCs w:val="20"/>
        </w:rPr>
        <w:t xml:space="preserve"> caso de empresa ou sociedade estrangeira em funcionamento no País: decreto de autorização.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val="false"/>
          <w:bCs w:val="false"/>
          <w:color w:val="000000"/>
          <w:sz w:val="20"/>
          <w:szCs w:val="20"/>
        </w:rPr>
        <w:t>12.8.8 Os documentos acima deverão estar acompanhados de todas as alterações ou da con</w:t>
      </w:r>
      <w:r>
        <w:rPr>
          <w:rFonts w:cs="Verdana" w:ascii="Verdana" w:hAnsi="Verdana"/>
          <w:bCs/>
          <w:color w:val="000000"/>
          <w:sz w:val="20"/>
          <w:szCs w:val="20"/>
        </w:rPr>
        <w:t>solidação respectiva.</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bCs/>
          <w:color w:val="000000"/>
          <w:sz w:val="20"/>
          <w:szCs w:val="20"/>
        </w:rPr>
        <w:t xml:space="preserve">12.9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pacing w:lineRule="auto" w:line="276" w:before="57" w:after="57"/>
        <w:ind w:left="0" w:right="0"/>
        <w:jc w:val="both"/>
        <w:rPr>
          <w:rFonts w:ascii="Verdana" w:hAnsi="Verdana"/>
          <w:sz w:val="20"/>
          <w:szCs w:val="20"/>
        </w:rPr>
      </w:pPr>
      <w:r>
        <w:rPr>
          <w:rFonts w:cs="Verdana" w:ascii="Verdana" w:hAnsi="Verdana"/>
          <w:b w:val="false"/>
          <w:bCs w:val="false"/>
          <w:sz w:val="20"/>
          <w:szCs w:val="20"/>
          <w:lang w:eastAsia="en-US"/>
        </w:rPr>
        <w:t>12.9.1 Prova de inscrição no Cadastro Nacional de Pessoas Jurídicas ou no Cadastro de Pessoas Físicas, conforme o caso.</w:t>
      </w:r>
    </w:p>
    <w:p>
      <w:pPr>
        <w:pStyle w:val="Normal"/>
        <w:spacing w:lineRule="auto" w:line="276" w:before="57" w:after="57"/>
        <w:ind w:left="0" w:right="0"/>
        <w:jc w:val="both"/>
        <w:rPr>
          <w:rFonts w:ascii="Verdana" w:hAnsi="Verdana"/>
          <w:sz w:val="20"/>
          <w:szCs w:val="20"/>
        </w:rPr>
      </w:pPr>
      <w:r>
        <w:rPr>
          <w:rFonts w:cs="Verdana" w:ascii="Verdana" w:hAnsi="Verdana"/>
          <w:b w:val="false"/>
          <w:bCs w:val="false"/>
          <w:sz w:val="20"/>
          <w:szCs w:val="20"/>
          <w:lang w:eastAsia="en-US"/>
        </w:rPr>
        <w:t>12.9.2 Certidão de regularidade junto à fazenda pública Municipal, do domicílio do Licitante.</w:t>
      </w:r>
    </w:p>
    <w:p>
      <w:pPr>
        <w:pStyle w:val="Normal"/>
        <w:spacing w:lineRule="auto" w:line="276" w:before="57" w:after="57"/>
        <w:ind w:left="0" w:right="0"/>
        <w:jc w:val="both"/>
        <w:rPr>
          <w:rFonts w:ascii="Verdana" w:hAnsi="Verdana"/>
          <w:sz w:val="20"/>
          <w:szCs w:val="20"/>
        </w:rPr>
      </w:pPr>
      <w:r>
        <w:rPr>
          <w:rFonts w:cs="Verdana" w:ascii="Verdana" w:hAnsi="Verdana"/>
          <w:b w:val="false"/>
          <w:bCs w:val="false"/>
          <w:sz w:val="20"/>
          <w:szCs w:val="20"/>
        </w:rPr>
        <w:t>12.9.3 Certidão de regularidade junto à fazenda pública Estadual, do domicílio do Licitante.</w:t>
      </w:r>
    </w:p>
    <w:p>
      <w:pPr>
        <w:pStyle w:val="Normal"/>
        <w:spacing w:lineRule="auto" w:line="276" w:before="57" w:after="57"/>
        <w:ind w:left="0" w:right="0"/>
        <w:jc w:val="both"/>
        <w:rPr>
          <w:rFonts w:ascii="Verdana" w:hAnsi="Verdana"/>
          <w:sz w:val="20"/>
          <w:szCs w:val="20"/>
        </w:rPr>
      </w:pPr>
      <w:r>
        <w:rPr>
          <w:rFonts w:cs="Verdana" w:ascii="Verdana" w:hAnsi="Verdana"/>
          <w:b w:val="false"/>
          <w:bCs w:val="false"/>
          <w:sz w:val="20"/>
          <w:szCs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76" w:before="57" w:after="57"/>
        <w:ind w:left="0" w:right="0"/>
        <w:jc w:val="both"/>
        <w:rPr>
          <w:rFonts w:ascii="Verdana" w:hAnsi="Verdana"/>
          <w:sz w:val="20"/>
          <w:szCs w:val="20"/>
        </w:rPr>
      </w:pPr>
      <w:r>
        <w:rPr>
          <w:rFonts w:cs="Verdana" w:ascii="Verdana" w:hAnsi="Verdana"/>
          <w:b w:val="false"/>
          <w:bCs w:val="false"/>
          <w:sz w:val="20"/>
          <w:szCs w:val="20"/>
        </w:rPr>
        <w:t>12.9.5 Certidão de regularidade junto ao FGTS;</w:t>
      </w:r>
    </w:p>
    <w:p>
      <w:pPr>
        <w:pStyle w:val="Normal"/>
        <w:spacing w:lineRule="auto" w:line="276" w:before="57" w:after="57"/>
        <w:ind w:left="0" w:right="0"/>
        <w:jc w:val="both"/>
        <w:rPr>
          <w:rFonts w:ascii="Verdana" w:hAnsi="Verdana"/>
          <w:sz w:val="20"/>
          <w:szCs w:val="20"/>
        </w:rPr>
      </w:pPr>
      <w:r>
        <w:rPr>
          <w:rFonts w:cs="Verdana" w:ascii="Verdana" w:hAnsi="Verdana"/>
          <w:b w:val="false"/>
          <w:bCs w:val="false"/>
          <w:sz w:val="20"/>
          <w:szCs w:val="20"/>
          <w:lang w:eastAsia="en-US"/>
        </w:rPr>
        <w:t>12.9.6 Certidão Negativa De Débitos Trabalhistas (CNDT) de acordo com a Lei 12440 de 7 de julho de 2011.</w:t>
      </w:r>
    </w:p>
    <w:p>
      <w:pPr>
        <w:pStyle w:val="Normal"/>
        <w:spacing w:lineRule="auto" w:line="276" w:before="57" w:after="57"/>
        <w:ind w:left="0" w:right="0"/>
        <w:jc w:val="both"/>
        <w:rPr>
          <w:rFonts w:ascii="Verdana" w:hAnsi="Verdana"/>
          <w:sz w:val="20"/>
          <w:szCs w:val="20"/>
        </w:rPr>
      </w:pPr>
      <w:r>
        <w:rPr>
          <w:rFonts w:cs="Verdana" w:ascii="Verdana" w:hAnsi="Verdana"/>
          <w:b w:val="false"/>
          <w:bCs w:val="false"/>
          <w:color w:val="000000"/>
          <w:sz w:val="20"/>
          <w:szCs w:val="20"/>
          <w:lang w:eastAsia="en-US" w:bidi="pt-BR"/>
        </w:rPr>
        <w:t xml:space="preserve">12.9.7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w:t>
      </w:r>
      <w:r>
        <w:rPr>
          <w:rFonts w:cs="Verdana" w:ascii="Verdana" w:hAnsi="Verdana"/>
          <w:color w:val="000000"/>
          <w:sz w:val="20"/>
          <w:szCs w:val="20"/>
          <w:lang w:eastAsia="en-US"/>
        </w:rPr>
        <w:t xml:space="preserve"> comprovação de regularidade fiscal, mesmo que esta apresente alguma restrição, sob pena de inabilitação.</w:t>
      </w:r>
    </w:p>
    <w:p>
      <w:pPr>
        <w:pStyle w:val="ListParagraph"/>
        <w:spacing w:lineRule="auto" w:line="276" w:before="57" w:after="57"/>
        <w:ind w:hanging="0" w:left="0" w:right="0"/>
        <w:contextualSpacing w:val="false"/>
        <w:jc w:val="both"/>
        <w:rPr>
          <w:rFonts w:ascii="Verdana" w:hAnsi="Verdana"/>
          <w:sz w:val="20"/>
          <w:szCs w:val="20"/>
        </w:rPr>
      </w:pPr>
      <w:r>
        <w:rPr>
          <w:rFonts w:cs="Verdana" w:ascii="Verdana" w:hAnsi="Verdana"/>
          <w:b/>
          <w:color w:val="000000"/>
          <w:sz w:val="20"/>
          <w:szCs w:val="20"/>
        </w:rPr>
        <w:t>12.10 Qualificação Econômico-Financeira</w:t>
      </w:r>
      <w:r>
        <w:rPr>
          <w:rFonts w:cs="Verdana" w:ascii="Verdana" w:hAnsi="Verdana"/>
          <w:color w:val="000000"/>
          <w:sz w:val="20"/>
          <w:szCs w:val="20"/>
        </w:rPr>
        <w:t>.</w:t>
      </w:r>
    </w:p>
    <w:p>
      <w:pPr>
        <w:pStyle w:val="Normal"/>
        <w:tabs>
          <w:tab w:val="clear" w:pos="708"/>
          <w:tab w:val="left" w:pos="850" w:leader="none"/>
        </w:tabs>
        <w:spacing w:lineRule="auto" w:line="276" w:before="57" w:after="57"/>
        <w:ind w:left="0" w:right="0"/>
        <w:jc w:val="both"/>
        <w:rPr>
          <w:rFonts w:ascii="Verdana" w:hAnsi="Verdana"/>
          <w:sz w:val="20"/>
          <w:szCs w:val="20"/>
        </w:rPr>
      </w:pPr>
      <w:r>
        <w:rPr>
          <w:rFonts w:cs="Verdana" w:ascii="Verdana" w:hAnsi="Verdana"/>
          <w:b w:val="false"/>
          <w:bCs w:val="false"/>
          <w:color w:val="000000"/>
          <w:sz w:val="20"/>
          <w:szCs w:val="20"/>
        </w:rPr>
        <w:t>12.10.1 Certidão negativa de falência, recuperação judicial e extrajudicial, expedida pelo cartório distribuidor da sede da Licitante ou por meio digital, emitida em até 30 (trinta) dias anteriores à data de abertura da Licitação;</w:t>
      </w:r>
    </w:p>
    <w:p>
      <w:pPr>
        <w:pStyle w:val="Normal"/>
        <w:tabs>
          <w:tab w:val="clear" w:pos="708"/>
          <w:tab w:val="left" w:pos="850" w:leader="none"/>
        </w:tabs>
        <w:spacing w:lineRule="auto" w:line="276" w:before="57" w:after="57"/>
        <w:ind w:left="0" w:right="0"/>
        <w:jc w:val="both"/>
        <w:rPr>
          <w:rFonts w:ascii="Verdana" w:hAnsi="Verdana"/>
          <w:sz w:val="20"/>
          <w:szCs w:val="20"/>
        </w:rPr>
      </w:pPr>
      <w:r>
        <w:rPr>
          <w:rFonts w:cs="Verdana" w:ascii="Verdana" w:hAnsi="Verdana"/>
          <w:b w:val="false"/>
          <w:bCs w:val="false"/>
          <w:color w:val="000000"/>
          <w:sz w:val="20"/>
          <w:szCs w:val="2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76" w:before="57" w:after="57"/>
        <w:ind w:hanging="0" w:left="0" w:right="0"/>
        <w:jc w:val="both"/>
        <w:rPr>
          <w:rFonts w:ascii="Verdana" w:hAnsi="Verdana"/>
          <w:sz w:val="20"/>
          <w:szCs w:val="20"/>
        </w:rPr>
      </w:pPr>
      <w:r>
        <w:rPr>
          <w:rFonts w:cs="Verdana" w:ascii="Verdana" w:hAnsi="Verdana"/>
          <w:b w:val="false"/>
          <w:bCs w:val="false"/>
          <w:sz w:val="20"/>
          <w:szCs w:val="20"/>
        </w:rPr>
        <w:t>12.10.3 Para a contagem do prazo estabelecido na letra “a” deste capítulo, será contado a partir do primeiro dia que antecede a data da realização desta licitação.</w:t>
      </w:r>
    </w:p>
    <w:p>
      <w:pPr>
        <w:pStyle w:val="Normal"/>
        <w:tabs>
          <w:tab w:val="clear" w:pos="708"/>
          <w:tab w:val="left" w:pos="850" w:leader="none"/>
        </w:tabs>
        <w:spacing w:lineRule="auto" w:line="276" w:before="57" w:after="57"/>
        <w:ind w:hanging="0" w:left="0" w:right="0"/>
        <w:jc w:val="both"/>
        <w:rPr>
          <w:rFonts w:ascii="Verdana" w:hAnsi="Verdana"/>
          <w:sz w:val="20"/>
          <w:szCs w:val="20"/>
        </w:rPr>
      </w:pPr>
      <w:r>
        <w:rPr>
          <w:rFonts w:cs="Verdana" w:ascii="Verdana" w:hAnsi="Verdana"/>
          <w:b w:val="false"/>
          <w:bCs w:val="false"/>
          <w:color w:val="000000"/>
          <w:sz w:val="20"/>
          <w:szCs w:val="20"/>
          <w:lang w:eastAsia="en-US"/>
        </w:rPr>
        <w:t xml:space="preserve">12.10.4 </w:t>
      </w:r>
      <w:r>
        <w:rPr>
          <w:rFonts w:cs="Verdana" w:ascii="Verdana" w:hAnsi="Verdana"/>
          <w:color w:val="000000"/>
          <w:sz w:val="20"/>
          <w:szCs w:val="20"/>
          <w:lang w:eastAsia="en-US"/>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276" w:before="57" w:after="57"/>
        <w:ind w:hanging="0" w:left="0" w:right="0"/>
        <w:jc w:val="both"/>
        <w:rPr>
          <w:rFonts w:ascii="Verdana" w:hAnsi="Verdana" w:cs="Arial"/>
          <w:b/>
          <w:sz w:val="20"/>
          <w:szCs w:val="20"/>
          <w:u w:val="single"/>
        </w:rPr>
      </w:pPr>
      <w:r>
        <w:rPr>
          <w:rFonts w:cs="Arial" w:ascii="Verdana" w:hAnsi="Verdana"/>
          <w:b/>
          <w:sz w:val="20"/>
          <w:szCs w:val="20"/>
          <w:u w:val="single"/>
        </w:rPr>
      </w:r>
    </w:p>
    <w:p>
      <w:pPr>
        <w:pStyle w:val="Normal"/>
        <w:spacing w:lineRule="auto" w:line="276" w:before="57" w:after="57"/>
        <w:ind w:hanging="0" w:left="0" w:right="0"/>
        <w:rPr>
          <w:rFonts w:ascii="Verdana" w:hAnsi="Verdana"/>
          <w:sz w:val="20"/>
          <w:szCs w:val="20"/>
        </w:rPr>
      </w:pPr>
      <w:r>
        <w:rPr>
          <w:rFonts w:cs="Times New Roman" w:ascii="Verdana" w:hAnsi="Verdana"/>
          <w:b/>
          <w:bCs/>
          <w:sz w:val="20"/>
          <w:szCs w:val="20"/>
        </w:rPr>
        <w:t xml:space="preserve">13. ADEQUAÇÃO ORÇAMENTÁRIA </w:t>
      </w:r>
    </w:p>
    <w:p>
      <w:pPr>
        <w:pStyle w:val="ListParagraph"/>
        <w:spacing w:lineRule="auto" w:line="276" w:before="57" w:after="57"/>
        <w:ind w:hanging="0" w:left="0" w:right="0"/>
        <w:contextualSpacing w:val="false"/>
        <w:jc w:val="both"/>
        <w:rPr>
          <w:rFonts w:ascii="Verdana" w:hAnsi="Verdana"/>
          <w:sz w:val="20"/>
          <w:szCs w:val="20"/>
        </w:rPr>
      </w:pPr>
      <w:r>
        <w:rPr>
          <w:rFonts w:ascii="Verdana" w:hAnsi="Verdana"/>
          <w:b w:val="false"/>
          <w:bCs w:val="false"/>
          <w:sz w:val="20"/>
          <w:szCs w:val="20"/>
        </w:rPr>
        <w:t>13.1.</w:t>
      </w:r>
      <w:r>
        <w:rPr>
          <w:rFonts w:ascii="Verdana" w:hAnsi="Verdana"/>
          <w:b/>
          <w:bCs/>
          <w:sz w:val="20"/>
          <w:szCs w:val="20"/>
        </w:rPr>
        <w:t xml:space="preserve"> </w:t>
      </w:r>
      <w:r>
        <w:rPr>
          <w:rFonts w:ascii="Verdana" w:hAnsi="Verdana"/>
          <w:sz w:val="20"/>
          <w:szCs w:val="20"/>
        </w:rPr>
        <w:t xml:space="preserve">As despesas decorrentes da presente </w:t>
      </w:r>
      <w:r>
        <w:rPr>
          <w:rFonts w:eastAsia="Times New Roman" w:cs="Times New Roman" w:ascii="Verdana" w:hAnsi="Verdana"/>
          <w:sz w:val="20"/>
          <w:szCs w:val="20"/>
        </w:rPr>
        <w:t>aquisição</w:t>
      </w:r>
      <w:r>
        <w:rPr>
          <w:rFonts w:ascii="Verdana" w:hAnsi="Verdana"/>
          <w:sz w:val="20"/>
          <w:szCs w:val="20"/>
        </w:rPr>
        <w:t xml:space="preserve"> correrão à conta de recursos específicos consignados no Lei Orçamentária Anual </w:t>
      </w:r>
      <w:r>
        <w:rPr>
          <w:rFonts w:cs="Arial" w:ascii="Verdana" w:hAnsi="Verdana"/>
          <w:b/>
          <w:sz w:val="20"/>
          <w:szCs w:val="20"/>
          <w:u w:val="single"/>
        </w:rPr>
        <w:t>da Secretaria Municipal de Saúde.</w:t>
      </w:r>
    </w:p>
    <w:p>
      <w:pPr>
        <w:pStyle w:val="Normal"/>
        <w:spacing w:lineRule="auto" w:line="276" w:before="57" w:after="57"/>
        <w:ind w:left="0" w:right="0"/>
        <w:jc w:val="both"/>
        <w:rPr>
          <w:rFonts w:ascii="Verdana" w:hAnsi="Verdana" w:eastAsia="Times New Roman" w:cs="Verdana"/>
          <w:b w:val="false"/>
          <w:bCs w:val="false"/>
          <w:color w:val="000000"/>
          <w:kern w:val="0"/>
          <w:sz w:val="20"/>
          <w:szCs w:val="20"/>
          <w:u w:val="single"/>
          <w:shd w:fill="FFFFFF" w:val="clear"/>
          <w:lang w:val="pt-BR" w:eastAsia="pt-BR" w:bidi="ar-SA"/>
        </w:rPr>
      </w:pPr>
      <w:r>
        <w:rPr>
          <w:rFonts w:eastAsia="Times New Roman" w:cs="Verdana" w:ascii="Verdana" w:hAnsi="Verdana"/>
          <w:b w:val="false"/>
          <w:bCs w:val="false"/>
          <w:color w:val="000000"/>
          <w:kern w:val="0"/>
          <w:sz w:val="20"/>
          <w:szCs w:val="20"/>
          <w:u w:val="single"/>
          <w:shd w:fill="FFFFFF" w:val="clear"/>
          <w:lang w:val="pt-BR" w:eastAsia="pt-BR" w:bidi="ar-SA"/>
        </w:rPr>
      </w:r>
    </w:p>
    <w:p>
      <w:pPr>
        <w:pStyle w:val="Normal"/>
        <w:spacing w:lineRule="auto" w:line="276" w:before="57" w:after="57"/>
        <w:ind w:left="0" w:right="0"/>
        <w:jc w:val="both"/>
        <w:rPr>
          <w:rFonts w:ascii="Verdana" w:hAnsi="Verdana"/>
          <w:sz w:val="20"/>
          <w:szCs w:val="20"/>
        </w:rPr>
      </w:pPr>
      <w:r>
        <w:rPr>
          <w:rFonts w:cs="Arial" w:ascii="Verdana" w:hAnsi="Verdana"/>
          <w:b/>
          <w:bCs/>
          <w:color w:val="000000"/>
          <w:sz w:val="20"/>
          <w:szCs w:val="20"/>
        </w:rPr>
        <w:t>14. DOS RESPONSÁVEIS PELA ELABORAÇÃO DO TERMO DE REFERÊNCIA</w:t>
      </w:r>
    </w:p>
    <w:p>
      <w:pPr>
        <w:pStyle w:val="Normal"/>
        <w:spacing w:lineRule="auto" w:line="276" w:before="57" w:after="57"/>
        <w:ind w:left="0" w:right="0"/>
        <w:jc w:val="both"/>
        <w:rPr>
          <w:rFonts w:ascii="Verdana" w:hAnsi="Verdana"/>
          <w:sz w:val="20"/>
          <w:szCs w:val="20"/>
        </w:rPr>
      </w:pPr>
      <w:r>
        <w:rPr>
          <w:rFonts w:cs="Arial" w:ascii="Verdana" w:hAnsi="Verdana"/>
          <w:b w:val="false"/>
          <w:bCs w:val="false"/>
          <w:color w:val="000000"/>
          <w:sz w:val="20"/>
          <w:szCs w:val="20"/>
        </w:rPr>
        <w:t>14.1. A compilação d</w:t>
      </w:r>
      <w:r>
        <w:rPr>
          <w:rFonts w:eastAsia="Times New Roman" w:cs="Arial" w:ascii="Verdana" w:hAnsi="Verdana"/>
          <w:b w:val="false"/>
          <w:bCs w:val="false"/>
          <w:color w:val="000000"/>
          <w:sz w:val="20"/>
          <w:szCs w:val="20"/>
        </w:rPr>
        <w:t>e parte das</w:t>
      </w:r>
      <w:r>
        <w:rPr>
          <w:rFonts w:cs="Arial" w:ascii="Verdana" w:hAnsi="Verdana"/>
          <w:b w:val="false"/>
          <w:bCs w:val="false"/>
          <w:color w:val="000000"/>
          <w:sz w:val="20"/>
          <w:szCs w:val="20"/>
        </w:rPr>
        <w:t xml:space="preserve"> informações mencionados </w:t>
      </w:r>
      <w:r>
        <w:rPr>
          <w:rFonts w:eastAsia="Times New Roman" w:cs="Arial" w:ascii="Verdana" w:hAnsi="Verdana"/>
          <w:b w:val="false"/>
          <w:bCs w:val="false"/>
          <w:color w:val="000000"/>
          <w:sz w:val="20"/>
          <w:szCs w:val="20"/>
        </w:rPr>
        <w:t>na</w:t>
      </w:r>
      <w:r>
        <w:rPr>
          <w:rFonts w:cs="Arial" w:ascii="Verdana" w:hAnsi="Verdana"/>
          <w:b w:val="false"/>
          <w:bCs w:val="false"/>
          <w:color w:val="000000"/>
          <w:sz w:val="20"/>
          <w:szCs w:val="20"/>
        </w:rPr>
        <w:t xml:space="preserve"> elaboração deste Termo de Referência foram estruturadas através do ETP – Estudo Técnico Preliminar elaborado pela secretaria requisitante.</w:t>
      </w:r>
    </w:p>
    <w:p>
      <w:pPr>
        <w:pStyle w:val="Normal"/>
        <w:spacing w:lineRule="auto" w:line="276" w:before="57" w:after="57"/>
        <w:ind w:left="0" w:right="0"/>
        <w:jc w:val="right"/>
        <w:rPr>
          <w:rFonts w:ascii="Verdana" w:hAnsi="Verdana"/>
          <w:sz w:val="20"/>
          <w:szCs w:val="20"/>
        </w:rPr>
      </w:pPr>
      <w:r>
        <w:rPr>
          <w:rFonts w:ascii="Verdana" w:hAnsi="Verdana"/>
          <w:sz w:val="20"/>
          <w:szCs w:val="20"/>
        </w:rPr>
        <w:t xml:space="preserve">São Gabriel da Palha, </w:t>
      </w:r>
      <w:r>
        <w:rPr>
          <w:rFonts w:ascii="Verdana" w:hAnsi="Verdana"/>
          <w:sz w:val="20"/>
          <w:szCs w:val="20"/>
        </w:rPr>
        <w:t>26 de novembro de 2024</w:t>
      </w:r>
      <w:r>
        <w:rPr>
          <w:rFonts w:ascii="Verdana" w:hAnsi="Verdana"/>
          <w:sz w:val="20"/>
          <w:szCs w:val="20"/>
        </w:rPr>
        <w:t>.</w:t>
      </w:r>
    </w:p>
    <w:p>
      <w:pPr>
        <w:pStyle w:val="Normal"/>
        <w:spacing w:lineRule="auto" w:line="276" w:before="57" w:after="57"/>
        <w:ind w:left="0" w:right="0"/>
        <w:jc w:val="right"/>
        <w:rPr>
          <w:rFonts w:ascii="Verdana" w:hAnsi="Verdana" w:cs="Arial"/>
          <w:b/>
          <w:sz w:val="20"/>
          <w:szCs w:val="20"/>
          <w:u w:val="single"/>
        </w:rPr>
      </w:pPr>
      <w:r>
        <w:rPr>
          <w:rFonts w:cs="Arial" w:ascii="Verdana" w:hAnsi="Verdana"/>
          <w:b/>
          <w:sz w:val="20"/>
          <w:szCs w:val="20"/>
          <w:u w:val="single"/>
        </w:rPr>
      </w:r>
    </w:p>
    <w:p>
      <w:pPr>
        <w:sectPr>
          <w:headerReference w:type="even" r:id="rId8"/>
          <w:headerReference w:type="default" r:id="rId9"/>
          <w:headerReference w:type="first" r:id="rId10"/>
          <w:footerReference w:type="even" r:id="rId11"/>
          <w:footerReference w:type="default" r:id="rId12"/>
          <w:footerReference w:type="first" r:id="rId13"/>
          <w:type w:val="nextPage"/>
          <w:pgSz w:w="11906" w:h="16838"/>
          <w:pgMar w:left="1550" w:right="905" w:gutter="0" w:header="227" w:top="851" w:footer="414" w:bottom="803"/>
          <w:pgNumType w:fmt="decimal"/>
          <w:formProt w:val="false"/>
          <w:textDirection w:val="lrTb"/>
          <w:docGrid w:type="default" w:linePitch="326" w:charSpace="0"/>
        </w:sectPr>
      </w:pPr>
    </w:p>
    <w:p>
      <w:pPr>
        <w:pStyle w:val="Normal"/>
        <w:spacing w:lineRule="auto" w:line="276" w:before="57" w:after="57"/>
        <w:ind w:left="0" w:right="0"/>
        <w:jc w:val="both"/>
        <w:rPr>
          <w:rFonts w:ascii="Verdana" w:hAnsi="Verdana"/>
          <w:sz w:val="20"/>
          <w:szCs w:val="20"/>
        </w:rPr>
      </w:pPr>
      <w:r>
        <w:rPr>
          <w:rFonts w:cs="Arial" w:ascii="Verdana" w:hAnsi="Verdana"/>
          <w:b/>
          <w:bCs/>
          <w:sz w:val="20"/>
          <w:szCs w:val="20"/>
        </w:rPr>
        <w:t>Elaborado por:</w:t>
      </w:r>
    </w:p>
    <w:p>
      <w:pPr>
        <w:pStyle w:val="Normal"/>
        <w:rPr>
          <w:rFonts w:ascii="Verdana" w:hAnsi="Verdana"/>
          <w:sz w:val="20"/>
          <w:szCs w:val="20"/>
        </w:rPr>
      </w:pPr>
      <w:bookmarkEnd w:id="0"/>
      <w:bookmarkEnd w:id="1"/>
      <w:bookmarkEnd w:id="2"/>
      <w:bookmarkEnd w:id="3"/>
      <w:bookmarkEnd w:id="4"/>
      <w:bookmarkEnd w:id="5"/>
      <w:bookmarkEnd w:id="6"/>
      <w:r>
        <w:rPr>
          <w:rFonts w:ascii="Verdana" w:hAnsi="Verdana"/>
          <w:sz w:val="20"/>
          <w:szCs w:val="20"/>
        </w:rPr>
        <w:t>KARINA ARRIVABENE</w:t>
      </w:r>
    </w:p>
    <w:p>
      <w:pPr>
        <w:pStyle w:val="Normal"/>
        <w:rPr>
          <w:rFonts w:ascii="Verdana" w:hAnsi="Verdana"/>
          <w:sz w:val="20"/>
          <w:szCs w:val="20"/>
        </w:rPr>
      </w:pPr>
      <w:r>
        <w:rPr>
          <w:rFonts w:ascii="Verdana" w:hAnsi="Verdana"/>
          <w:sz w:val="20"/>
          <w:szCs w:val="20"/>
        </w:rPr>
        <w:t>Escriturário</w:t>
      </w:r>
    </w:p>
    <w:p>
      <w:pPr>
        <w:pStyle w:val="Normal"/>
        <w:spacing w:lineRule="auto" w:line="276" w:before="57" w:after="57"/>
        <w:ind w:left="0" w:right="0"/>
        <w:rPr>
          <w:rFonts w:ascii="Verdana" w:hAnsi="Verdana"/>
          <w:sz w:val="20"/>
          <w:szCs w:val="20"/>
        </w:rPr>
      </w:pPr>
      <w:r>
        <w:rPr>
          <w:rFonts w:ascii="Verdana" w:hAnsi="Verdana"/>
          <w:sz w:val="20"/>
          <w:szCs w:val="20"/>
        </w:rPr>
        <w:t>Mat nº 003463</w:t>
      </w:r>
    </w:p>
    <w:p>
      <w:pPr>
        <w:pStyle w:val="Normal"/>
        <w:spacing w:lineRule="auto" w:line="276" w:before="57" w:after="57"/>
        <w:ind w:left="0" w:right="0"/>
        <w:rPr>
          <w:rFonts w:ascii="Verdana" w:hAnsi="Verdana"/>
          <w:b/>
          <w:bCs/>
          <w:sz w:val="20"/>
          <w:szCs w:val="20"/>
        </w:rPr>
      </w:pPr>
      <w:r>
        <w:rPr>
          <w:rFonts w:ascii="Verdana" w:hAnsi="Verdana"/>
          <w:b/>
          <w:bCs/>
          <w:sz w:val="20"/>
          <w:szCs w:val="20"/>
        </w:rPr>
        <w:t>Aprovado por:</w:t>
      </w:r>
    </w:p>
    <w:p>
      <w:pPr>
        <w:pStyle w:val="Normal"/>
        <w:spacing w:lineRule="auto" w:line="276" w:before="57" w:after="57"/>
        <w:ind w:left="0" w:right="0"/>
        <w:rPr>
          <w:rFonts w:ascii="Verdana" w:hAnsi="Verdana"/>
          <w:sz w:val="20"/>
          <w:szCs w:val="20"/>
        </w:rPr>
      </w:pPr>
      <w:r>
        <w:rPr>
          <w:rFonts w:ascii="Verdana" w:hAnsi="Verdana"/>
          <w:sz w:val="20"/>
          <w:szCs w:val="20"/>
        </w:rPr>
        <w:t>MARCELLA FERREIRA ROSSONI ROCHA</w:t>
      </w:r>
    </w:p>
    <w:p>
      <w:pPr>
        <w:pStyle w:val="Normal"/>
        <w:spacing w:lineRule="auto" w:line="276" w:before="57" w:after="57"/>
        <w:ind w:left="0" w:right="0"/>
        <w:rPr>
          <w:rFonts w:ascii="Verdana" w:hAnsi="Verdana"/>
          <w:sz w:val="20"/>
          <w:szCs w:val="20"/>
        </w:rPr>
      </w:pPr>
      <w:r>
        <w:rPr>
          <w:rFonts w:ascii="Verdana" w:hAnsi="Verdana"/>
          <w:sz w:val="20"/>
          <w:szCs w:val="20"/>
        </w:rPr>
        <w:t>SECRETÁRIA MUNICIPAL DE SAÚDE – INTERINA</w:t>
      </w:r>
    </w:p>
    <w:p>
      <w:pPr>
        <w:sectPr>
          <w:type w:val="continuous"/>
          <w:pgSz w:w="11906" w:h="16838"/>
          <w:pgMar w:left="1550" w:right="905" w:gutter="0" w:header="227" w:top="851" w:footer="414" w:bottom="803"/>
          <w:cols w:num="2" w:space="282" w:equalWidth="true" w:sep="false"/>
          <w:formProt w:val="false"/>
          <w:textDirection w:val="lrTb"/>
          <w:docGrid w:type="default" w:linePitch="326" w:charSpace="0"/>
        </w:sectPr>
      </w:pPr>
    </w:p>
    <w:p>
      <w:pPr>
        <w:pStyle w:val="Normal"/>
        <w:spacing w:lineRule="auto" w:line="276" w:before="57" w:after="57"/>
        <w:ind w:left="0" w:right="0"/>
        <w:rPr>
          <w:rFonts w:ascii="Verdana" w:hAnsi="Verdana"/>
          <w:sz w:val="20"/>
          <w:szCs w:val="20"/>
        </w:rPr>
      </w:pPr>
      <w:r>
        <w:rPr>
          <w:rFonts w:ascii="Verdana" w:hAnsi="Verdana"/>
          <w:sz w:val="20"/>
          <w:szCs w:val="20"/>
        </w:rPr>
      </w:r>
    </w:p>
    <w:sectPr>
      <w:type w:val="continuous"/>
      <w:pgSz w:w="11906" w:h="16838"/>
      <w:pgMar w:left="1550" w:right="905" w:gutter="0" w:header="227" w:top="851" w:footer="414" w:bottom="803"/>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Ecofont_Spranq_eco_Sans">
    <w:charset w:val="00"/>
    <w:family w:val="roman"/>
    <w:pitch w:val="variable"/>
  </w:font>
  <w:font w:name="Tahoma">
    <w:charset w:val="00"/>
    <w:family w:val="roman"/>
    <w:pitch w:val="variable"/>
  </w:font>
  <w:font w:name="Verdana">
    <w:charset w:val="00"/>
    <w:family w:val="roman"/>
    <w:pitch w:val="variable"/>
  </w:font>
  <w:font w:name="Courier New">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Narrow">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Style w:val="PageNumbe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Style w:val="PageNumbe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1">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1">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0"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e18ec"/>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link w:val="Ttulo1Char"/>
    <w:uiPriority w:val="9"/>
    <w:qFormat/>
    <w:rsid w:val="00537254"/>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2e18ec"/>
    <w:rPr/>
  </w:style>
  <w:style w:type="character" w:styleId="CabealhoChar" w:customStyle="1">
    <w:name w:val="Cabeçalho Char"/>
    <w:basedOn w:val="DefaultParagraphFont"/>
    <w:qFormat/>
    <w:rsid w:val="002e18ec"/>
    <w:rPr>
      <w:rFonts w:ascii="Times New Roman" w:hAnsi="Times New Roman" w:eastAsia="Times New Roman" w:cs="Times New Roman"/>
      <w:sz w:val="24"/>
      <w:szCs w:val="20"/>
      <w:lang w:eastAsia="pt-BR"/>
    </w:rPr>
  </w:style>
  <w:style w:type="character" w:styleId="RodapChar" w:customStyle="1">
    <w:name w:val="Rodapé Char"/>
    <w:basedOn w:val="DefaultParagraphFont"/>
    <w:qFormat/>
    <w:rsid w:val="002e18ec"/>
    <w:rPr>
      <w:rFonts w:ascii="Times New Roman" w:hAnsi="Times New Roman" w:eastAsia="Times New Roman" w:cs="Times New Roman"/>
      <w:sz w:val="24"/>
      <w:szCs w:val="20"/>
      <w:lang w:eastAsia="pt-BR"/>
    </w:rPr>
  </w:style>
  <w:style w:type="character" w:styleId="A6" w:customStyle="1">
    <w:name w:val="A6"/>
    <w:qFormat/>
    <w:rPr>
      <w:color w:val="000000"/>
      <w:sz w:val="18"/>
      <w:u w:val="single"/>
    </w:rPr>
  </w:style>
  <w:style w:type="character" w:styleId="InternetLink" w:customStyle="1">
    <w:name w:val="Internet Link"/>
    <w:qFormat/>
    <w:rPr>
      <w:color w:val="000080"/>
      <w:u w:val="single"/>
    </w:rPr>
  </w:style>
  <w:style w:type="character" w:styleId="CorpodetextoChar" w:customStyle="1">
    <w:name w:val="Corpo de texto Char"/>
    <w:basedOn w:val="DefaultParagraphFont"/>
    <w:qFormat/>
    <w:rsid w:val="004568f3"/>
    <w:rPr>
      <w:rFonts w:ascii="Times New Roman" w:hAnsi="Times New Roman" w:eastAsia="Times New Roman" w:cs="Times New Roman"/>
      <w:sz w:val="24"/>
      <w:szCs w:val="20"/>
      <w:lang w:eastAsia="pt-BR"/>
    </w:rPr>
  </w:style>
  <w:style w:type="character" w:styleId="CitaoChar" w:customStyle="1">
    <w:name w:val="Citação Char"/>
    <w:basedOn w:val="DefaultParagraphFont"/>
    <w:qFormat/>
    <w:rsid w:val="00537254"/>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53725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537254"/>
    <w:rPr>
      <w:rFonts w:ascii="Arial" w:hAnsi="Arial" w:cs="Arial"/>
      <w:color w:val="000000"/>
    </w:rPr>
  </w:style>
  <w:style w:type="character" w:styleId="Strong">
    <w:name w:val="Strong"/>
    <w:qFormat/>
    <w:rPr>
      <w:b/>
      <w:bCs/>
    </w:rPr>
  </w:style>
  <w:style w:type="character" w:styleId="Ttulo1Char" w:customStyle="1">
    <w:name w:val="Título 1 Char"/>
    <w:basedOn w:val="DefaultParagraphFont"/>
    <w:uiPriority w:val="9"/>
    <w:qFormat/>
    <w:rsid w:val="00537254"/>
    <w:rPr>
      <w:rFonts w:ascii="Cambria" w:hAnsi="Cambria" w:eastAsia="" w:cs="" w:asciiTheme="majorHAnsi" w:cstheme="majorBidi" w:eastAsiaTheme="majorEastAsia" w:hAnsiTheme="majorHAnsi"/>
      <w:b/>
      <w:bCs/>
      <w:color w:themeColor="accent1" w:themeShade="bf" w:val="365F91"/>
      <w:sz w:val="28"/>
      <w:szCs w:val="28"/>
      <w:lang w:eastAsia="pt-BR"/>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cs="Ecofont_Spranq_eco_Sans"/>
      <w:i/>
      <w:iCs/>
      <w:color w:val="000000"/>
      <w:sz w:val="24"/>
      <w:szCs w:val="24"/>
      <w:shd w:fill="FFFFCC" w:val="clear"/>
      <w:lang w:eastAsia="en-US"/>
    </w:rPr>
  </w:style>
  <w:style w:type="character" w:styleId="Nivel01Char">
    <w:name w:val="Nivel_01 Char"/>
    <w:qFormat/>
    <w:rPr>
      <w:rFonts w:ascii="Ecofont_Spranq_eco_Sans" w:hAnsi="Ecofont_Spranq_eco_Sans" w:eastAsia="ＭＳ ゴシック" w:cs="Times New Roman"/>
      <w:b/>
      <w:bCs/>
      <w:color w:val="365F91"/>
      <w:sz w:val="32"/>
      <w:szCs w:val="32"/>
    </w:rPr>
  </w:style>
  <w:style w:type="character" w:styleId="Nivel01Char1">
    <w:name w:val="Nivel 01 Char"/>
    <w:qFormat/>
    <w:rPr>
      <w:rFonts w:ascii="Ecofont_Spranq_eco_Sans" w:hAnsi="Ecofont_Spranq_eco_Sans" w:eastAsia="ＭＳ ゴシック"/>
      <w:b/>
      <w:bCs/>
      <w:color w:val="000000"/>
    </w:rPr>
  </w:style>
  <w:style w:type="character" w:styleId="AssuntodocomentrioChar">
    <w:name w:val="Assunto do comentário Char"/>
    <w:qFormat/>
    <w:rPr>
      <w:rFonts w:ascii="Arial" w:hAnsi="Arial" w:cs="Tahoma"/>
      <w:b/>
      <w:bCs/>
    </w:rPr>
  </w:style>
  <w:style w:type="character" w:styleId="TextodecomentrioChar">
    <w:name w:val="Texto de comentário Char"/>
    <w:qFormat/>
    <w:rPr>
      <w:rFonts w:ascii="Arial" w:hAnsi="Arial" w:cs="Tahoma"/>
    </w:rPr>
  </w:style>
  <w:style w:type="character" w:styleId="annotationreference">
    <w:name w:val="annotation reference"/>
    <w:qFormat/>
    <w:rPr>
      <w:sz w:val="18"/>
      <w:szCs w:val="18"/>
    </w:rPr>
  </w:style>
  <w:style w:type="character" w:styleId="GradeColorida-nfase1Char">
    <w:name w:val="Grade Colorida - Ênfase 1 Char"/>
    <w:qFormat/>
    <w:rPr>
      <w:rFonts w:ascii="Ecofont_Spranq_eco_Sans" w:hAnsi="Ecofont_Spranq_eco_Sans" w:eastAsia="Calibri"/>
      <w:i/>
      <w:iCs/>
      <w:color w:val="000000"/>
      <w:szCs w:val="24"/>
      <w:shd w:fill="FFFFCC" w:val="clear"/>
      <w:lang w:val="x-none" w:eastAsia="en-US"/>
    </w:rPr>
  </w:style>
  <w:style w:type="character" w:styleId="citao2Char">
    <w:name w:val="citação 2 Char"/>
    <w:qFormat/>
    <w:rPr>
      <w:rFonts w:ascii="Ecofont_Spranq_eco_Sans" w:hAnsi="Ecofont_Spranq_eco_Sans" w:eastAsia="Calibri" w:cs="Tahoma"/>
      <w:i/>
      <w:iCs/>
      <w:color w:val="000000"/>
      <w:shd w:fill="FFFFCC" w:val="clear"/>
      <w:lang w:eastAsia="en-US"/>
    </w:rPr>
  </w:style>
  <w:style w:type="character" w:styleId="apple-style-span">
    <w:name w:val="apple-style-span"/>
    <w:qFormat/>
    <w:rPr/>
  </w:style>
  <w:style w:type="character" w:styleId="normalchar1">
    <w:name w:val="normal__char1"/>
    <w:qFormat/>
    <w:rPr>
      <w:rFonts w:ascii="Arial" w:hAnsi="Arial" w:cs="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cs="Tahoma"/>
      <w:sz w:val="16"/>
      <w:szCs w:val="16"/>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Ttulo3Char">
    <w:name w:val="Título 3 Char"/>
    <w:qFormat/>
    <w:rPr>
      <w:rFonts w:ascii="Arial" w:hAnsi="Arial" w:eastAsia="Times New Roman" w:cs="Arial"/>
      <w:b/>
      <w:bCs/>
      <w:sz w:val="26"/>
      <w:szCs w:val="26"/>
    </w:rPr>
  </w:style>
  <w:style w:type="character" w:styleId="Ttulo7Char">
    <w:name w:val="Título 7 Char"/>
    <w:qFormat/>
    <w:rPr>
      <w:rFonts w:ascii="Cambria" w:hAnsi="Cambria" w:eastAsia="Calibri" w:cs="Tahoma"/>
      <w:i/>
      <w:iCs/>
      <w:color w:val="404040"/>
      <w:sz w:val="24"/>
      <w:szCs w:val="24"/>
    </w:rPr>
  </w:style>
  <w:style w:type="character" w:styleId="NormalWebChar">
    <w:name w:val="Normal (Web) Char"/>
    <w:qFormat/>
    <w:rPr>
      <w:rFonts w:ascii="Times New Roman" w:hAnsi="Times New Roman" w:eastAsia="Times New Roman" w:cs="Times New Roman"/>
      <w:sz w:val="24"/>
      <w:szCs w:val="24"/>
    </w:rPr>
  </w:style>
  <w:style w:type="character" w:styleId="PargrafoNormalChar">
    <w:name w:val="Parágrafo Normal Char"/>
    <w:qFormat/>
    <w:rPr>
      <w:rFonts w:ascii="Times New Roman" w:hAnsi="Times New Roman" w:eastAsia="Times New Roman" w:cs="Times New Roman"/>
      <w:sz w:val="24"/>
      <w:szCs w:val="24"/>
    </w:rPr>
  </w:style>
  <w:style w:type="character" w:styleId="Hyperlink1">
    <w:name w:val="Hyperlink1"/>
    <w:qFormat/>
    <w:rPr>
      <w:color w:val="000080"/>
      <w:u w:val="single"/>
    </w:rPr>
  </w:style>
  <w:style w:type="character" w:styleId="fontecinza1">
    <w:name w:val="fonte_cinza1"/>
    <w:qFormat/>
    <w:rPr>
      <w:rFonts w:ascii="Verdana" w:hAnsi="Verdana" w:cs="Verdana"/>
      <w:color w:val="333333"/>
      <w:sz w:val="15"/>
      <w:szCs w:val="15"/>
    </w:rPr>
  </w:style>
  <w:style w:type="character" w:styleId="Fontepargpadro">
    <w:name w:val="Fonte parág. padrão"/>
    <w:qFormat/>
    <w:rPr/>
  </w:style>
  <w:style w:type="character" w:styleId="WW8Num6z1">
    <w:name w:val="WW8Num6z1"/>
    <w:qFormat/>
    <w:rPr>
      <w:rFonts w:ascii="Courier New" w:hAnsi="Courier New" w:cs="Courier New"/>
    </w:rPr>
  </w:style>
  <w:style w:type="character" w:styleId="WW8Num5z1">
    <w:name w:val="WW8Num5z1"/>
    <w:qFormat/>
    <w:rPr>
      <w:rFonts w:ascii="Courier New" w:hAnsi="Courier New" w:cs="Courier New"/>
    </w:rPr>
  </w:style>
  <w:style w:type="character" w:styleId="WW8Num4z1">
    <w:name w:val="WW8Num4z1"/>
    <w:qFormat/>
    <w:rPr>
      <w:rFonts w:ascii="Courier New" w:hAnsi="Courier New" w:cs="Courier New"/>
    </w:rPr>
  </w:style>
  <w:style w:type="character" w:styleId="WW8Num3z1">
    <w:name w:val="WW8Num3z1"/>
    <w:qFormat/>
    <w:rPr>
      <w:rFonts w:ascii="Courier New" w:hAnsi="Courier New" w:cs="Courier New"/>
    </w:rPr>
  </w:style>
  <w:style w:type="character" w:styleId="WW8Num2z1">
    <w:name w:val="WW8Num2z1"/>
    <w:qFormat/>
    <w:rPr>
      <w:rFonts w:ascii="Courier New" w:hAnsi="Courier New" w:cs="Courier New"/>
    </w:rPr>
  </w:style>
  <w:style w:type="character" w:styleId="WW8Num1z1">
    <w:name w:val="WW8Num1z1"/>
    <w:qFormat/>
    <w:rPr>
      <w:rFonts w:ascii="Courier New" w:hAnsi="Courier New" w:cs="Courier New"/>
    </w:rPr>
  </w:style>
  <w:style w:type="character" w:styleId="InternetLink1">
    <w:name w:val="Internet Link1"/>
    <w:qFormat/>
    <w:rPr>
      <w:color w:val="000080"/>
      <w:u w:val="single"/>
    </w:rPr>
  </w:style>
  <w:style w:type="character" w:styleId="Marcadores">
    <w:name w:val="Marcadores"/>
    <w:qFormat/>
    <w:rPr>
      <w:rFonts w:ascii="OpenSymbol" w:hAnsi="OpenSymbol" w:eastAsia="OpenSymbol" w:cs="OpenSymbol"/>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Cs w:val="24"/>
    </w:rPr>
  </w:style>
  <w:style w:type="paragraph" w:styleId="ndice" w:customStyle="1">
    <w:name w:val="Índice"/>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Lucida Sans"/>
      <w:sz w:val="28"/>
      <w:szCs w:val="2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link w:val="CabealhoChar"/>
    <w:rsid w:val="002e18ec"/>
    <w:pPr>
      <w:tabs>
        <w:tab w:val="clear" w:pos="708"/>
        <w:tab w:val="center" w:pos="4419" w:leader="none"/>
        <w:tab w:val="right" w:pos="8838" w:leader="none"/>
      </w:tabs>
    </w:pPr>
    <w:rPr/>
  </w:style>
  <w:style w:type="paragraph" w:styleId="Footer">
    <w:name w:val="Footer"/>
    <w:basedOn w:val="Normal"/>
    <w:link w:val="RodapChar"/>
    <w:rsid w:val="002e18ec"/>
    <w:pPr>
      <w:tabs>
        <w:tab w:val="clear" w:pos="708"/>
        <w:tab w:val="center" w:pos="4419" w:leader="none"/>
        <w:tab w:val="right" w:pos="8838" w:leader="none"/>
      </w:tabs>
    </w:pPr>
    <w:rPr/>
  </w:style>
  <w:style w:type="paragraph" w:styleId="ListParagraph">
    <w:name w:val="List Paragraph"/>
    <w:basedOn w:val="Normal"/>
    <w:uiPriority w:val="34"/>
    <w:qFormat/>
    <w:rsid w:val="007a2726"/>
    <w:pPr>
      <w:spacing w:before="0" w:after="0"/>
      <w:ind w:hanging="0" w:left="720"/>
      <w:contextualSpacing/>
    </w:pPr>
    <w:rPr/>
  </w:style>
  <w:style w:type="paragraph" w:styleId="Tabelanormal1" w:customStyle="1">
    <w:name w:val="Tabela normal1"/>
    <w:qFormat/>
    <w:pPr>
      <w:widowControl/>
      <w:suppressAutoHyphens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false"/>
      <w:spacing w:before="120" w:after="0"/>
      <w:jc w:val="both"/>
    </w:pPr>
    <w:rPr>
      <w:rFonts w:ascii="Arial" w:hAnsi="Arial" w:eastAsia="Calibri" w:cs="Tahoma"/>
      <w:i/>
      <w:iCs/>
      <w:color w:val="000000"/>
      <w:sz w:val="20"/>
      <w:szCs w:val="24"/>
      <w:lang w:eastAsia="en-US"/>
    </w:rPr>
  </w:style>
  <w:style w:type="paragraph" w:styleId="Nivel1" w:customStyle="1">
    <w:name w:val="Nivel1"/>
    <w:basedOn w:val="Heading1"/>
    <w:next w:val="Normal"/>
    <w:link w:val="Nivel1Char"/>
    <w:qFormat/>
    <w:rsid w:val="00537254"/>
    <w:pPr>
      <w:suppressAutoHyphens w:val="false"/>
      <w:spacing w:lineRule="auto" w:line="276" w:before="480" w:after="120"/>
      <w:jc w:val="both"/>
      <w:outlineLvl w:val="9"/>
    </w:pPr>
    <w:rPr>
      <w:rFonts w:ascii="Arial" w:hAnsi="Arial" w:cs="Arial"/>
      <w:bCs w:val="false"/>
      <w:color w:themeColor="accent1" w:themeShade="bf" w:val="000000"/>
      <w:sz w:val="32"/>
      <w:szCs w:val="32"/>
      <w:lang w:eastAsia="en-US"/>
    </w:rPr>
  </w:style>
  <w:style w:type="paragraph" w:styleId="Standard" w:customStyle="1">
    <w:name w:val="Standard"/>
    <w:qFormat/>
    <w:rsid w:val="00537254"/>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customStyle="1">
    <w:name w:val="citação 2"/>
    <w:basedOn w:val="Quote"/>
    <w:qFormat/>
    <w:rsid w:val="00537254"/>
    <w:pPr>
      <w:suppressAutoHyphens w:val="true"/>
    </w:pPr>
    <w:rPr>
      <w:kern w:val="2"/>
      <w:szCs w:val="20"/>
      <w:lang w:eastAsia="zh-CN" w:bidi="hi-IN"/>
    </w:rPr>
  </w:style>
  <w:style w:type="paragraph" w:styleId="Nivel2" w:customStyle="1">
    <w:name w:val="Nivel 2"/>
    <w:basedOn w:val="Normal"/>
    <w:link w:val="Nivel2Char"/>
    <w:qFormat/>
    <w:rsid w:val="00537254"/>
    <w:pPr>
      <w:suppressAutoHyphens w:val="false"/>
      <w:spacing w:lineRule="auto" w:line="276" w:before="120" w:after="120"/>
      <w:jc w:val="both"/>
    </w:pPr>
    <w:rPr>
      <w:rFonts w:ascii="Arial" w:hAnsi="Arial" w:eastAsia="Calibri" w:cs="Arial" w:eastAsiaTheme="minorHAnsi"/>
      <w:color w:val="000000"/>
      <w:sz w:val="22"/>
      <w:szCs w:val="22"/>
      <w:lang w:eastAsia="en-US"/>
    </w:rPr>
  </w:style>
  <w:style w:type="paragraph" w:styleId="Nivel3" w:customStyle="1">
    <w:name w:val="Nivel 3"/>
    <w:basedOn w:val="ListParagraph"/>
    <w:qFormat/>
    <w:rsid w:val="00537254"/>
    <w:pPr>
      <w:tabs>
        <w:tab w:val="clear" w:pos="708"/>
        <w:tab w:val="left" w:pos="360" w:leader="none"/>
      </w:tabs>
      <w:suppressAutoHyphens w:val="false"/>
      <w:spacing w:lineRule="auto" w:line="276" w:before="120" w:after="120"/>
      <w:ind w:hanging="0" w:left="425"/>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Default">
    <w:name w:val="Default"/>
    <w:qFormat/>
    <w:pPr>
      <w:widowControl/>
      <w:suppressAutoHyphens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PargrafodaLista">
    <w:name w:val="Parágrafo da Lista"/>
    <w:basedOn w:val="Normal"/>
    <w:qFormat/>
    <w:pPr>
      <w:spacing w:lineRule="auto" w:line="276" w:before="0" w:after="200"/>
      <w:ind w:hanging="0" w:left="720"/>
      <w:contextualSpacing/>
    </w:pPr>
    <w:rPr>
      <w:rFonts w:ascii="Calibri" w:hAnsi="Calibri" w:eastAsia="Calibri" w:cs="Calibri"/>
      <w:sz w:val="22"/>
      <w:szCs w:val="22"/>
    </w:rPr>
  </w:style>
  <w:style w:type="paragraph" w:styleId="Citao1">
    <w:name w:val="Citação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ascii="Ecofont_Spranq_eco_Sans" w:hAnsi="Ecofont_Spranq_eco_Sans" w:cs="Ecofont_Spranq_eco_Sans"/>
      <w:i/>
      <w:iCs/>
      <w:color w:val="000000"/>
      <w:shd w:fill="FFFFCC" w:val="clear"/>
      <w:lang w:eastAsia="en-US"/>
    </w:rPr>
  </w:style>
  <w:style w:type="paragraph" w:styleId="Nivel5">
    <w:name w:val="Nivel 5"/>
    <w:qFormat/>
    <w:pPr>
      <w:widowControl/>
      <w:tabs>
        <w:tab w:val="clear" w:pos="708"/>
        <w:tab w:val="left" w:pos="360" w:leader="none"/>
      </w:tabs>
      <w:suppressAutoHyphens w:val="true"/>
      <w:bidi w:val="0"/>
      <w:spacing w:lineRule="auto" w:line="276" w:before="120" w:after="120"/>
      <w:ind w:hanging="0" w:left="3485"/>
      <w:jc w:val="both"/>
    </w:pPr>
    <w:rPr>
      <w:rFonts w:ascii="Ecofont_Spranq_eco_Sans" w:hAnsi="Ecofont_Spranq_eco_Sans" w:eastAsia="Arial Unicode MS" w:cs="Arial"/>
      <w:color w:val="auto"/>
      <w:kern w:val="0"/>
      <w:sz w:val="22"/>
      <w:szCs w:val="22"/>
      <w:lang w:val="pt-BR" w:eastAsia="en-US" w:bidi="ar-SA"/>
    </w:rPr>
  </w:style>
  <w:style w:type="paragraph" w:styleId="Nivel4">
    <w:name w:val="Nivel 4"/>
    <w:qFormat/>
    <w:pPr>
      <w:widowControl/>
      <w:tabs>
        <w:tab w:val="clear" w:pos="708"/>
        <w:tab w:val="left" w:pos="360" w:leader="none"/>
      </w:tabs>
      <w:suppressAutoHyphens w:val="true"/>
      <w:bidi w:val="0"/>
      <w:spacing w:lineRule="auto" w:line="276" w:before="120" w:after="120"/>
      <w:ind w:hanging="0" w:left="2491"/>
      <w:jc w:val="both"/>
    </w:pPr>
    <w:rPr>
      <w:rFonts w:ascii="Ecofont_Spranq_eco_Sans" w:hAnsi="Ecofont_Spranq_eco_Sans" w:eastAsia="Arial Unicode MS" w:cs="Arial"/>
      <w:color w:val="auto"/>
      <w:kern w:val="0"/>
      <w:sz w:val="22"/>
      <w:szCs w:val="22"/>
      <w:lang w:val="pt-BR" w:eastAsia="en-US" w:bidi="ar-SA"/>
    </w:rPr>
  </w:style>
  <w:style w:type="paragraph" w:styleId="Nivel11">
    <w:name w:val="Nivel 1"/>
    <w:qFormat/>
    <w:pPr>
      <w:widowControl/>
      <w:tabs>
        <w:tab w:val="clear" w:pos="708"/>
        <w:tab w:val="left" w:pos="360" w:leader="none"/>
      </w:tabs>
      <w:suppressAutoHyphens w:val="true"/>
      <w:bidi w:val="0"/>
      <w:spacing w:lineRule="auto" w:line="276" w:before="120" w:after="120"/>
      <w:ind w:hanging="432" w:left="644"/>
      <w:jc w:val="both"/>
    </w:pPr>
    <w:rPr>
      <w:rFonts w:ascii="Ecofont_Spranq_eco_Sans" w:hAnsi="Ecofont_Spranq_eco_Sans" w:eastAsia="Arial Unicode MS" w:cs="Arial"/>
      <w:b/>
      <w:color w:val="auto"/>
      <w:kern w:val="0"/>
      <w:sz w:val="22"/>
      <w:szCs w:val="22"/>
      <w:lang w:val="pt-BR" w:eastAsia="en-US" w:bidi="ar-SA"/>
    </w:rPr>
  </w:style>
  <w:style w:type="paragraph" w:styleId="PargrafodaLista1">
    <w:name w:val="Parágrafo da Lista1"/>
    <w:basedOn w:val="Normal"/>
    <w:qFormat/>
    <w:pPr>
      <w:ind w:hanging="0" w:left="720"/>
    </w:pPr>
    <w:rPr>
      <w:rFonts w:ascii="Ecofont_Spranq_eco_Sans" w:hAnsi="Ecofont_Spranq_eco_Sans" w:cs="Ecofont_Spranq_eco_Sans"/>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fill="FFFFCC"/>
      <w:spacing w:before="120" w:after="0"/>
      <w:jc w:val="both"/>
    </w:pPr>
    <w:rPr>
      <w:rFonts w:ascii="Ecofont_Spranq_eco_Sans" w:hAnsi="Ecofont_Spranq_eco_Sans" w:eastAsia="Calibri"/>
      <w:i/>
      <w:iCs/>
      <w:color w:val="000000"/>
    </w:rPr>
  </w:style>
  <w:style w:type="paragraph" w:styleId="Nivel01">
    <w:name w:val="Nivel_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365F91"/>
      <w:sz w:val="20"/>
      <w:szCs w:val="20"/>
    </w:rPr>
  </w:style>
  <w:style w:type="paragraph" w:styleId="Nivel011">
    <w:name w:val="Nivel 01"/>
    <w:basedOn w:val="Heading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themeColor="accent1" w:themeShade="bf" w:val="000000"/>
      <w:sz w:val="20"/>
      <w:szCs w:val="20"/>
    </w:rPr>
  </w:style>
  <w:style w:type="paragraph" w:styleId="annotationsubject">
    <w:name w:val="annotation subject"/>
    <w:qFormat/>
    <w:pPr>
      <w:widowControl/>
      <w:suppressAutoHyphens w:val="true"/>
      <w:bidi w:val="0"/>
      <w:spacing w:before="0" w:after="0"/>
      <w:jc w:val="left"/>
    </w:pPr>
    <w:rPr>
      <w:rFonts w:ascii="Calibri" w:hAnsi="Calibri" w:eastAsia="Calibri" w:cs="0"/>
      <w:b/>
      <w:bCs/>
      <w:color w:val="auto"/>
      <w:kern w:val="0"/>
      <w:sz w:val="20"/>
      <w:szCs w:val="20"/>
      <w:lang w:val="pt-BR" w:eastAsia="en-US" w:bidi="ar-SA"/>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fill="FFFFCC"/>
      <w:spacing w:before="120" w:after="0"/>
      <w:jc w:val="both"/>
    </w:pPr>
    <w:rPr>
      <w:rFonts w:eastAsia="Calibri" w:cs="Times New Roman"/>
      <w:i/>
      <w:iCs/>
      <w:color w:val="000000"/>
      <w:lang w:val="x-none" w:eastAsia="en-US"/>
    </w:rPr>
  </w:style>
  <w:style w:type="paragraph" w:styleId="ListBullet5">
    <w:name w:val="List Bullet 5"/>
    <w:basedOn w:val="Normal"/>
    <w:qFormat/>
    <w:pPr>
      <w:spacing w:before="0" w:after="0"/>
      <w:contextualSpacing/>
    </w:pPr>
    <w:rPr/>
  </w:style>
  <w:style w:type="paragraph" w:styleId="Nvel2">
    <w:name w:val="Nível 2"/>
    <w:basedOn w:val="Normal"/>
    <w:qFormat/>
    <w:pPr>
      <w:spacing w:before="0" w:after="120"/>
      <w:jc w:val="both"/>
    </w:pPr>
    <w:rPr>
      <w:rFonts w:cs="Times New Roman"/>
      <w:b/>
      <w:szCs w:val="20"/>
    </w:rPr>
  </w:style>
  <w:style w:type="paragraph" w:styleId="BalloonText">
    <w:name w:val="Balloon Text"/>
    <w:basedOn w:val="Normal"/>
    <w:qFormat/>
    <w:pPr/>
    <w:rPr>
      <w:rFonts w:ascii="Tahoma" w:hAnsi="Tahoma"/>
      <w:sz w:val="16"/>
      <w:szCs w:val="16"/>
    </w:rPr>
  </w:style>
  <w:style w:type="paragraph" w:styleId="NormalWeb">
    <w:name w:val="Normal (Web)"/>
    <w:basedOn w:val="Normal"/>
    <w:qFormat/>
    <w:pPr>
      <w:spacing w:beforeAutospacing="1" w:afterAutospacing="1"/>
    </w:pPr>
    <w:rPr>
      <w:rFonts w:ascii="Times New Roman" w:hAnsi="Times New Roman" w:cs="Times New Roman"/>
    </w:rPr>
  </w:style>
  <w:style w:type="paragraph" w:styleId="Contedodatabela">
    <w:name w:val="Conteúdo da tabela"/>
    <w:basedOn w:val="Normal"/>
    <w:qFormat/>
    <w:pPr/>
    <w:rPr/>
  </w:style>
  <w:style w:type="paragraph" w:styleId="Ttulodetabela">
    <w:name w:val="Título de tabela"/>
    <w:basedOn w:val="Contedodatabela"/>
    <w:qFormat/>
    <w:pPr>
      <w:suppressLineNumbers/>
      <w:jc w:val="center"/>
    </w:pPr>
    <w:rPr>
      <w:b/>
      <w:bCs/>
    </w:rPr>
  </w:style>
  <w:style w:type="paragraph" w:styleId="Ttulo1">
    <w:name w:val="Título1"/>
    <w:basedOn w:val="Normal"/>
    <w:qFormat/>
    <w:pPr>
      <w:keepNext w:val="true"/>
      <w:spacing w:before="240" w:after="120"/>
    </w:pPr>
    <w:rPr>
      <w:rFonts w:ascii="Liberation Sans" w:hAnsi="Liberation Sans" w:eastAsia="Microsoft YaHei" w:cs="Arial"/>
      <w:sz w:val="28"/>
      <w:szCs w:val="28"/>
    </w:rPr>
  </w:style>
  <w:style w:type="paragraph" w:styleId="Corpodetexto21">
    <w:name w:val="Corpo de texto 21"/>
    <w:basedOn w:val="Normal"/>
    <w:qFormat/>
    <w:pPr>
      <w:tabs>
        <w:tab w:val="clear" w:pos="708"/>
        <w:tab w:val="left" w:pos="0" w:leader="none"/>
        <w:tab w:val="left" w:pos="1134" w:leader="none"/>
      </w:tabs>
      <w:jc w:val="both"/>
      <w:textAlignment w:val="baseline"/>
    </w:pPr>
    <w:rPr>
      <w:rFonts w:ascii="Arial" w:hAnsi="Arial" w:cs="Arial"/>
      <w:szCs w:val="20"/>
    </w:rPr>
  </w:style>
  <w:style w:type="paragraph" w:styleId="NmerosPrincipais">
    <w:name w:val="Números Principais"/>
    <w:basedOn w:val="Normal"/>
    <w:qFormat/>
    <w:pPr>
      <w:spacing w:before="120" w:after="240"/>
      <w:jc w:val="both"/>
    </w:pPr>
    <w:rPr/>
  </w:style>
  <w:style w:type="paragraph" w:styleId="LetrasMultinvel">
    <w:name w:val="Letras Multinível"/>
    <w:qFormat/>
    <w:pPr>
      <w:widowControl w:val="false"/>
      <w:suppressAutoHyphens w:val="true"/>
      <w:bidi w:val="0"/>
      <w:spacing w:before="0" w:after="120"/>
      <w:jc w:val="both"/>
    </w:pPr>
    <w:rPr>
      <w:rFonts w:ascii="Liberation Serif" w:hAnsi="Liberation Serif" w:eastAsia="NSimSun" w:cs="Lucida Sans"/>
      <w:color w:val="auto"/>
      <w:kern w:val="2"/>
      <w:sz w:val="24"/>
      <w:szCs w:val="24"/>
      <w:lang w:val="pt-BR" w:eastAsia="zh-CN" w:bidi="hi-IN"/>
    </w:rPr>
  </w:style>
  <w:style w:type="paragraph" w:styleId="PargrafoNormal">
    <w:name w:val="Parágrafo Normal"/>
    <w:basedOn w:val="Normal"/>
    <w:qFormat/>
    <w:pPr>
      <w:spacing w:before="0" w:after="120"/>
      <w:jc w:val="both"/>
    </w:pPr>
    <w:rPr/>
  </w:style>
  <w:style w:type="paragraph" w:styleId="Nvel2-Red">
    <w:name w:val="Nível 2 -Red"/>
    <w:qFormat/>
    <w:pPr>
      <w:widowControl w:val="false"/>
      <w:suppressAutoHyphens w:val="true"/>
      <w:bidi w:val="0"/>
      <w:spacing w:lineRule="auto" w:line="276" w:before="120" w:after="120"/>
      <w:jc w:val="both"/>
    </w:pPr>
    <w:rPr>
      <w:rFonts w:ascii="Arial" w:hAnsi="Arial" w:eastAsia="Arial" w:cs="Arial"/>
      <w:i/>
      <w:iCs/>
      <w:color w:val="FF0000"/>
      <w:kern w:val="2"/>
      <w:sz w:val="20"/>
      <w:szCs w:val="20"/>
      <w:lang w:val="pt-BR" w:eastAsia="zh-CN" w:bidi="hi-IN"/>
    </w:rPr>
  </w:style>
  <w:style w:type="paragraph" w:styleId="xxdefault">
    <w:name w:val="x_xdefault"/>
    <w:basedOn w:val="Normal"/>
    <w:qFormat/>
    <w:pPr>
      <w:spacing w:before="280" w:after="280"/>
    </w:pPr>
    <w:rPr/>
  </w:style>
  <w:style w:type="paragraph" w:styleId="Textodebalo">
    <w:name w:val="Texto de balão"/>
    <w:basedOn w:val="Normal"/>
    <w:qFormat/>
    <w:pPr/>
    <w:rPr>
      <w:rFonts w:ascii="Tahoma" w:hAnsi="Tahoma" w:cs="Tahoma"/>
      <w:sz w:val="16"/>
      <w:szCs w:val="16"/>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53725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908</TotalTime>
  <Application>LibreOffice/24.2.6.2$Windows_X86_64 LibreOffice_project/ef66aa7e36a1bb8e65bfbc63aba53045a14d0871</Application>
  <AppVersion>15.0000</AppVersion>
  <Pages>10</Pages>
  <Words>4233</Words>
  <Characters>24442</Characters>
  <CharactersWithSpaces>28512</CharactersWithSpaces>
  <Paragraphs>213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2025-02-14T08:01:23Z</cp:lastPrinted>
  <dcterms:modified xsi:type="dcterms:W3CDTF">2025-02-14T07:59:19Z</dcterms:modified>
  <cp:revision>135</cp:revision>
  <dc:subject/>
  <dc:title/>
</cp:coreProperties>
</file>

<file path=docProps/custom.xml><?xml version="1.0" encoding="utf-8"?>
<Properties xmlns="http://schemas.openxmlformats.org/officeDocument/2006/custom-properties" xmlns:vt="http://schemas.openxmlformats.org/officeDocument/2006/docPropsVTypes"/>
</file>